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2026"/>
      </w:tblGrid>
      <w:tr w:rsidR="008D5C14" w:rsidRPr="001D0132" w14:paraId="6CB3E400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222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D8E413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b/>
                <w:bCs/>
                <w:color w:val="FFFFFF"/>
                <w:sz w:val="14"/>
                <w:szCs w:val="14"/>
              </w:rPr>
              <w:t xml:space="preserve">General Terms and </w:t>
            </w:r>
            <w:proofErr w:type="spellStart"/>
            <w:r w:rsidRPr="001D0132">
              <w:rPr>
                <w:b/>
                <w:bCs/>
                <w:color w:val="FFFFFF"/>
                <w:sz w:val="14"/>
                <w:szCs w:val="14"/>
              </w:rPr>
              <w:t>Conditions</w:t>
            </w:r>
            <w:proofErr w:type="spellEnd"/>
            <w:r w:rsidRPr="001D0132">
              <w:rPr>
                <w:b/>
                <w:bCs/>
                <w:color w:val="FFFFFF"/>
                <w:sz w:val="14"/>
                <w:szCs w:val="14"/>
              </w:rPr>
              <w:t xml:space="preserve"> – Hennig Custom </w:t>
            </w:r>
            <w:proofErr w:type="spellStart"/>
            <w:r w:rsidRPr="001D0132">
              <w:rPr>
                <w:b/>
                <w:bCs/>
                <w:color w:val="FFFFFF"/>
                <w:sz w:val="14"/>
                <w:szCs w:val="14"/>
              </w:rPr>
              <w:t>Saddlery</w:t>
            </w:r>
            <w:proofErr w:type="spellEnd"/>
            <w:r w:rsidRPr="001D0132">
              <w:rPr>
                <w:b/>
                <w:bCs/>
                <w:color w:val="FFFFFF"/>
                <w:sz w:val="14"/>
                <w:szCs w:val="14"/>
              </w:rPr>
              <w:t xml:space="preserve"> GmbH &amp; Co. KG</w:t>
            </w:r>
          </w:p>
        </w:tc>
        <w:tc>
          <w:tcPr>
            <w:tcW w:w="2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222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B292BB" w14:textId="77777777" w:rsidR="008D5C14" w:rsidRPr="001D0132" w:rsidRDefault="00000000">
            <w:pPr>
              <w:jc w:val="right"/>
              <w:rPr>
                <w:sz w:val="14"/>
                <w:szCs w:val="14"/>
              </w:rPr>
            </w:pPr>
            <w:r w:rsidRPr="001D0132">
              <w:rPr>
                <w:color w:val="FFFFFF"/>
                <w:sz w:val="14"/>
                <w:szCs w:val="14"/>
              </w:rPr>
              <w:t xml:space="preserve">As </w:t>
            </w:r>
            <w:proofErr w:type="spellStart"/>
            <w:r w:rsidRPr="001D0132">
              <w:rPr>
                <w:color w:val="FFFFFF"/>
                <w:sz w:val="14"/>
                <w:szCs w:val="14"/>
              </w:rPr>
              <w:t>of</w:t>
            </w:r>
            <w:proofErr w:type="spellEnd"/>
            <w:r w:rsidRPr="001D0132">
              <w:rPr>
                <w:color w:val="FFFFFF"/>
                <w:sz w:val="14"/>
                <w:szCs w:val="14"/>
              </w:rPr>
              <w:t>: 23.02.2026</w:t>
            </w:r>
          </w:p>
        </w:tc>
      </w:tr>
    </w:tbl>
    <w:p w14:paraId="203A6DD5" w14:textId="77777777" w:rsidR="008D5C14" w:rsidRPr="001D0132" w:rsidRDefault="00000000">
      <w:pPr>
        <w:spacing w:before="240" w:after="8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 </w:t>
      </w:r>
      <w:proofErr w:type="spellStart"/>
      <w:r w:rsidRPr="001D0132">
        <w:rPr>
          <w:b/>
          <w:bCs/>
          <w:sz w:val="14"/>
          <w:szCs w:val="14"/>
        </w:rPr>
        <w:t>Scope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Application</w:t>
      </w:r>
      <w:proofErr w:type="spellEnd"/>
    </w:p>
    <w:p w14:paraId="7C943CB9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The </w:t>
      </w:r>
      <w:proofErr w:type="spellStart"/>
      <w:r w:rsidRPr="001D0132">
        <w:rPr>
          <w:sz w:val="14"/>
          <w:szCs w:val="14"/>
        </w:rPr>
        <w:t>following</w:t>
      </w:r>
      <w:proofErr w:type="spellEnd"/>
      <w:r w:rsidRPr="001D0132">
        <w:rPr>
          <w:sz w:val="14"/>
          <w:szCs w:val="14"/>
        </w:rPr>
        <w:t xml:space="preserve"> General Terms and </w:t>
      </w:r>
      <w:proofErr w:type="spellStart"/>
      <w:r w:rsidRPr="001D0132">
        <w:rPr>
          <w:sz w:val="14"/>
          <w:szCs w:val="14"/>
        </w:rPr>
        <w:t>Conditions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Business, </w:t>
      </w:r>
      <w:proofErr w:type="spellStart"/>
      <w:r w:rsidRPr="001D0132">
        <w:rPr>
          <w:sz w:val="14"/>
          <w:szCs w:val="14"/>
        </w:rPr>
        <w:t>Delivery</w:t>
      </w:r>
      <w:proofErr w:type="spellEnd"/>
      <w:r w:rsidRPr="001D0132">
        <w:rPr>
          <w:sz w:val="14"/>
          <w:szCs w:val="14"/>
        </w:rPr>
        <w:t xml:space="preserve"> and Payment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Sattlerei Hennig – hereinafter </w:t>
      </w:r>
      <w:proofErr w:type="spellStart"/>
      <w:r w:rsidRPr="001D0132">
        <w:rPr>
          <w:sz w:val="14"/>
          <w:szCs w:val="14"/>
        </w:rPr>
        <w:t>referred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– </w:t>
      </w:r>
      <w:proofErr w:type="spellStart"/>
      <w:r w:rsidRPr="001D0132">
        <w:rPr>
          <w:sz w:val="14"/>
          <w:szCs w:val="14"/>
        </w:rPr>
        <w:t>apply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all </w:t>
      </w:r>
      <w:proofErr w:type="spellStart"/>
      <w:r w:rsidRPr="001D0132">
        <w:rPr>
          <w:sz w:val="14"/>
          <w:szCs w:val="14"/>
        </w:rPr>
        <w:t>current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future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business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relationships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offers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contracts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customers</w:t>
      </w:r>
      <w:proofErr w:type="spellEnd"/>
      <w:r w:rsidRPr="001D0132">
        <w:rPr>
          <w:sz w:val="14"/>
          <w:szCs w:val="14"/>
        </w:rPr>
        <w:t xml:space="preserve"> – hereinafter also </w:t>
      </w:r>
      <w:proofErr w:type="spellStart"/>
      <w:r w:rsidRPr="001D0132">
        <w:rPr>
          <w:sz w:val="14"/>
          <w:szCs w:val="14"/>
        </w:rPr>
        <w:t>referred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Client. Any </w:t>
      </w:r>
      <w:proofErr w:type="spellStart"/>
      <w:r w:rsidRPr="001D0132">
        <w:rPr>
          <w:sz w:val="14"/>
          <w:szCs w:val="14"/>
        </w:rPr>
        <w:t>deviations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oral </w:t>
      </w:r>
      <w:proofErr w:type="spellStart"/>
      <w:r w:rsidRPr="001D0132">
        <w:rPr>
          <w:sz w:val="14"/>
          <w:szCs w:val="14"/>
        </w:rPr>
        <w:t>collateral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agreements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must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made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writing</w:t>
      </w:r>
      <w:proofErr w:type="spellEnd"/>
      <w:r w:rsidRPr="001D0132">
        <w:rPr>
          <w:sz w:val="14"/>
          <w:szCs w:val="14"/>
        </w:rPr>
        <w:t xml:space="preserve">. Individual </w:t>
      </w:r>
      <w:proofErr w:type="spellStart"/>
      <w:r w:rsidRPr="001D0132">
        <w:rPr>
          <w:sz w:val="14"/>
          <w:szCs w:val="14"/>
        </w:rPr>
        <w:t>agreements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remain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unaffected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provided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have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set</w:t>
      </w:r>
      <w:proofErr w:type="spellEnd"/>
      <w:r w:rsidRPr="001D0132">
        <w:rPr>
          <w:sz w:val="14"/>
          <w:szCs w:val="14"/>
        </w:rPr>
        <w:t xml:space="preserve"> out in </w:t>
      </w:r>
      <w:proofErr w:type="spellStart"/>
      <w:r w:rsidRPr="001D0132">
        <w:rPr>
          <w:sz w:val="14"/>
          <w:szCs w:val="14"/>
        </w:rPr>
        <w:t>writing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both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parties</w:t>
      </w:r>
      <w:proofErr w:type="spellEnd"/>
      <w:r w:rsidRPr="001D0132">
        <w:rPr>
          <w:sz w:val="14"/>
          <w:szCs w:val="14"/>
        </w:rPr>
        <w:t>.</w:t>
      </w:r>
    </w:p>
    <w:p w14:paraId="5DEA75D3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Consumer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meaning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following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conditions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any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natural</w:t>
      </w:r>
      <w:proofErr w:type="spellEnd"/>
      <w:r w:rsidRPr="001D0132">
        <w:rPr>
          <w:sz w:val="14"/>
          <w:szCs w:val="14"/>
        </w:rPr>
        <w:t xml:space="preserve"> person </w:t>
      </w:r>
      <w:proofErr w:type="spellStart"/>
      <w:r w:rsidRPr="001D0132">
        <w:rPr>
          <w:sz w:val="14"/>
          <w:szCs w:val="14"/>
        </w:rPr>
        <w:t>who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concludes</w:t>
      </w:r>
      <w:proofErr w:type="spellEnd"/>
      <w:r w:rsidRPr="001D0132">
        <w:rPr>
          <w:sz w:val="14"/>
          <w:szCs w:val="14"/>
        </w:rPr>
        <w:t xml:space="preserve"> a legal </w:t>
      </w:r>
      <w:proofErr w:type="spellStart"/>
      <w:r w:rsidRPr="001D0132">
        <w:rPr>
          <w:sz w:val="14"/>
          <w:szCs w:val="14"/>
        </w:rPr>
        <w:t>transaction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purpose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attributed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neither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their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commercial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their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independent</w:t>
      </w:r>
      <w:proofErr w:type="spellEnd"/>
      <w:r w:rsidRPr="001D0132">
        <w:rPr>
          <w:sz w:val="14"/>
          <w:szCs w:val="14"/>
        </w:rPr>
        <w:t xml:space="preserve"> professional </w:t>
      </w:r>
      <w:proofErr w:type="spellStart"/>
      <w:r w:rsidRPr="001D0132">
        <w:rPr>
          <w:sz w:val="14"/>
          <w:szCs w:val="14"/>
        </w:rPr>
        <w:t>activity</w:t>
      </w:r>
      <w:proofErr w:type="spellEnd"/>
      <w:r w:rsidRPr="001D0132">
        <w:rPr>
          <w:sz w:val="14"/>
          <w:szCs w:val="14"/>
        </w:rPr>
        <w:t>.</w:t>
      </w:r>
    </w:p>
    <w:p w14:paraId="06B6F9CB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Entrepreneur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meaning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following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conditions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natural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legal person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partnership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legal </w:t>
      </w:r>
      <w:proofErr w:type="spellStart"/>
      <w:r w:rsidRPr="001D0132">
        <w:rPr>
          <w:sz w:val="14"/>
          <w:szCs w:val="14"/>
        </w:rPr>
        <w:t>capacity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acts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exercise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their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commercial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independent</w:t>
      </w:r>
      <w:proofErr w:type="spellEnd"/>
      <w:r w:rsidRPr="001D0132">
        <w:rPr>
          <w:sz w:val="14"/>
          <w:szCs w:val="14"/>
        </w:rPr>
        <w:t xml:space="preserve"> professional </w:t>
      </w:r>
      <w:proofErr w:type="spellStart"/>
      <w:r w:rsidRPr="001D0132">
        <w:rPr>
          <w:sz w:val="14"/>
          <w:szCs w:val="14"/>
        </w:rPr>
        <w:t>activity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concluding</w:t>
      </w:r>
      <w:proofErr w:type="spellEnd"/>
      <w:r w:rsidRPr="001D0132">
        <w:rPr>
          <w:sz w:val="14"/>
          <w:szCs w:val="14"/>
        </w:rPr>
        <w:t xml:space="preserve"> a legal </w:t>
      </w:r>
      <w:proofErr w:type="spellStart"/>
      <w:r w:rsidRPr="001D0132">
        <w:rPr>
          <w:sz w:val="14"/>
          <w:szCs w:val="14"/>
        </w:rPr>
        <w:t>transaction</w:t>
      </w:r>
      <w:proofErr w:type="spellEnd"/>
      <w:r w:rsidRPr="001D0132">
        <w:rPr>
          <w:sz w:val="14"/>
          <w:szCs w:val="14"/>
        </w:rPr>
        <w:t>.</w:t>
      </w:r>
    </w:p>
    <w:p w14:paraId="00D023A1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Customers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hereinafter </w:t>
      </w:r>
      <w:proofErr w:type="spellStart"/>
      <w:r w:rsidRPr="001D0132">
        <w:rPr>
          <w:sz w:val="14"/>
          <w:szCs w:val="14"/>
        </w:rPr>
        <w:t>both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consumers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entrepreneurs</w:t>
      </w:r>
      <w:proofErr w:type="spellEnd"/>
      <w:r w:rsidRPr="001D0132">
        <w:rPr>
          <w:sz w:val="14"/>
          <w:szCs w:val="14"/>
        </w:rPr>
        <w:t>.</w:t>
      </w:r>
    </w:p>
    <w:p w14:paraId="05CC1E5F" w14:textId="11839AA3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2 Prices / </w:t>
      </w:r>
      <w:proofErr w:type="spellStart"/>
      <w:r w:rsidRPr="001D0132">
        <w:rPr>
          <w:b/>
          <w:bCs/>
          <w:sz w:val="14"/>
          <w:szCs w:val="14"/>
        </w:rPr>
        <w:t>Cancellations</w:t>
      </w:r>
      <w:proofErr w:type="spellEnd"/>
    </w:p>
    <w:p w14:paraId="02B5CBE0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In </w:t>
      </w:r>
      <w:proofErr w:type="spellStart"/>
      <w:r w:rsidRPr="001D0132">
        <w:rPr>
          <w:sz w:val="14"/>
          <w:szCs w:val="14"/>
        </w:rPr>
        <w:t>addition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contractually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owed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remuneration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insurance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packaging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shipping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costs</w:t>
      </w:r>
      <w:proofErr w:type="spellEnd"/>
      <w:r w:rsidRPr="001D0132">
        <w:rPr>
          <w:sz w:val="14"/>
          <w:szCs w:val="14"/>
        </w:rPr>
        <w:t xml:space="preserve"> will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charged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separately</w:t>
      </w:r>
      <w:proofErr w:type="spellEnd"/>
      <w:r w:rsidRPr="001D0132">
        <w:rPr>
          <w:sz w:val="14"/>
          <w:szCs w:val="14"/>
        </w:rPr>
        <w:t>.</w:t>
      </w:r>
    </w:p>
    <w:p w14:paraId="0619BA5A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>(2) Short-</w:t>
      </w:r>
      <w:proofErr w:type="spellStart"/>
      <w:r w:rsidRPr="001D0132">
        <w:rPr>
          <w:sz w:val="14"/>
          <w:szCs w:val="14"/>
        </w:rPr>
        <w:t>notice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cancellations</w:t>
      </w:r>
      <w:proofErr w:type="spellEnd"/>
      <w:r w:rsidRPr="001D0132">
        <w:rPr>
          <w:sz w:val="14"/>
          <w:szCs w:val="14"/>
        </w:rPr>
        <w:t xml:space="preserve"> will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charged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follows</w:t>
      </w:r>
      <w:proofErr w:type="spellEnd"/>
      <w:r w:rsidRPr="001D0132">
        <w:rPr>
          <w:sz w:val="14"/>
          <w:szCs w:val="14"/>
        </w:rPr>
        <w:t xml:space="preserve">: 48 h in </w:t>
      </w:r>
      <w:proofErr w:type="spellStart"/>
      <w:r w:rsidRPr="001D0132">
        <w:rPr>
          <w:sz w:val="14"/>
          <w:szCs w:val="14"/>
        </w:rPr>
        <w:t>advance</w:t>
      </w:r>
      <w:proofErr w:type="spellEnd"/>
      <w:r w:rsidRPr="001D0132">
        <w:rPr>
          <w:sz w:val="14"/>
          <w:szCs w:val="14"/>
        </w:rPr>
        <w:t xml:space="preserve">: € 100 / 24 h in </w:t>
      </w:r>
      <w:proofErr w:type="spellStart"/>
      <w:r w:rsidRPr="001D0132">
        <w:rPr>
          <w:sz w:val="14"/>
          <w:szCs w:val="14"/>
        </w:rPr>
        <w:t>advance</w:t>
      </w:r>
      <w:proofErr w:type="spellEnd"/>
      <w:r w:rsidRPr="001D0132">
        <w:rPr>
          <w:sz w:val="14"/>
          <w:szCs w:val="14"/>
        </w:rPr>
        <w:t xml:space="preserve">: € 200. The </w:t>
      </w:r>
      <w:proofErr w:type="spellStart"/>
      <w:r w:rsidRPr="001D0132">
        <w:rPr>
          <w:sz w:val="14"/>
          <w:szCs w:val="14"/>
        </w:rPr>
        <w:t>invoiced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amount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cannot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offset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against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future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appointments</w:t>
      </w:r>
      <w:proofErr w:type="spellEnd"/>
      <w:r w:rsidRPr="001D0132">
        <w:rPr>
          <w:sz w:val="14"/>
          <w:szCs w:val="14"/>
        </w:rPr>
        <w:t xml:space="preserve">. The Client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– </w:t>
      </w:r>
      <w:proofErr w:type="spellStart"/>
      <w:r w:rsidRPr="001D0132">
        <w:rPr>
          <w:sz w:val="14"/>
          <w:szCs w:val="14"/>
        </w:rPr>
        <w:t>expressly</w:t>
      </w:r>
      <w:proofErr w:type="spellEnd"/>
      <w:r w:rsidRPr="001D0132">
        <w:rPr>
          <w:sz w:val="14"/>
          <w:szCs w:val="14"/>
        </w:rPr>
        <w:t xml:space="preserve"> – </w:t>
      </w:r>
      <w:proofErr w:type="spellStart"/>
      <w:r w:rsidRPr="001D0132">
        <w:rPr>
          <w:sz w:val="14"/>
          <w:szCs w:val="14"/>
        </w:rPr>
        <w:t>granted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opportunity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prove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lower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loss</w:t>
      </w:r>
      <w:proofErr w:type="spellEnd"/>
      <w:r w:rsidRPr="001D0132">
        <w:rPr>
          <w:sz w:val="14"/>
          <w:szCs w:val="14"/>
        </w:rPr>
        <w:t>.</w:t>
      </w:r>
    </w:p>
    <w:p w14:paraId="27368248" w14:textId="58386223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3 </w:t>
      </w:r>
      <w:proofErr w:type="spellStart"/>
      <w:r w:rsidRPr="001D0132">
        <w:rPr>
          <w:b/>
          <w:bCs/>
          <w:sz w:val="14"/>
          <w:szCs w:val="14"/>
        </w:rPr>
        <w:t>Offers</w:t>
      </w:r>
      <w:proofErr w:type="spellEnd"/>
      <w:r w:rsidRPr="001D0132">
        <w:rPr>
          <w:b/>
          <w:bCs/>
          <w:sz w:val="14"/>
          <w:szCs w:val="14"/>
        </w:rPr>
        <w:t xml:space="preserve">, </w:t>
      </w:r>
      <w:proofErr w:type="spellStart"/>
      <w:r w:rsidRPr="001D0132">
        <w:rPr>
          <w:b/>
          <w:bCs/>
          <w:sz w:val="14"/>
          <w:szCs w:val="14"/>
        </w:rPr>
        <w:t>Commissioning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for</w:t>
      </w:r>
      <w:proofErr w:type="spellEnd"/>
      <w:r w:rsidRPr="001D0132">
        <w:rPr>
          <w:b/>
          <w:bCs/>
          <w:sz w:val="14"/>
          <w:szCs w:val="14"/>
        </w:rPr>
        <w:t xml:space="preserve"> a </w:t>
      </w:r>
      <w:proofErr w:type="spellStart"/>
      <w:r w:rsidRPr="001D0132">
        <w:rPr>
          <w:b/>
          <w:bCs/>
          <w:sz w:val="14"/>
          <w:szCs w:val="14"/>
        </w:rPr>
        <w:t>Visit</w:t>
      </w:r>
      <w:proofErr w:type="spellEnd"/>
      <w:r w:rsidRPr="001D0132">
        <w:rPr>
          <w:b/>
          <w:bCs/>
          <w:sz w:val="14"/>
          <w:szCs w:val="14"/>
        </w:rPr>
        <w:t xml:space="preserve">, </w:t>
      </w:r>
      <w:proofErr w:type="spellStart"/>
      <w:r w:rsidRPr="001D0132">
        <w:rPr>
          <w:b/>
          <w:bCs/>
          <w:sz w:val="14"/>
          <w:szCs w:val="14"/>
        </w:rPr>
        <w:t>Conclusion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Contract</w:t>
      </w:r>
      <w:proofErr w:type="spellEnd"/>
    </w:p>
    <w:p w14:paraId="7130DD2B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The </w:t>
      </w:r>
      <w:proofErr w:type="spellStart"/>
      <w:r w:rsidRPr="001D0132">
        <w:rPr>
          <w:sz w:val="14"/>
          <w:szCs w:val="14"/>
        </w:rPr>
        <w:t>information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offers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contained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price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lists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advertisements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websites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other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publications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non-</w:t>
      </w:r>
      <w:proofErr w:type="spellStart"/>
      <w:r w:rsidRPr="001D0132">
        <w:rPr>
          <w:sz w:val="14"/>
          <w:szCs w:val="14"/>
        </w:rPr>
        <w:t>binding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subject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change</w:t>
      </w:r>
      <w:proofErr w:type="spellEnd"/>
      <w:r w:rsidRPr="001D0132">
        <w:rPr>
          <w:sz w:val="14"/>
          <w:szCs w:val="14"/>
        </w:rPr>
        <w:t>.</w:t>
      </w:r>
    </w:p>
    <w:p w14:paraId="7AA1B2BA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By </w:t>
      </w:r>
      <w:proofErr w:type="spellStart"/>
      <w:r w:rsidRPr="001D0132">
        <w:rPr>
          <w:sz w:val="14"/>
          <w:szCs w:val="14"/>
        </w:rPr>
        <w:t>placing</w:t>
      </w:r>
      <w:proofErr w:type="spellEnd"/>
      <w:r w:rsidRPr="001D0132">
        <w:rPr>
          <w:sz w:val="14"/>
          <w:szCs w:val="14"/>
        </w:rPr>
        <w:t xml:space="preserve"> an </w:t>
      </w:r>
      <w:proofErr w:type="spellStart"/>
      <w:r w:rsidRPr="001D0132">
        <w:rPr>
          <w:sz w:val="14"/>
          <w:szCs w:val="14"/>
        </w:rPr>
        <w:t>order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visit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purpose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measurement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 will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scheduled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next</w:t>
      </w:r>
      <w:proofErr w:type="spellEnd"/>
      <w:r w:rsidRPr="001D0132">
        <w:rPr>
          <w:sz w:val="14"/>
          <w:szCs w:val="14"/>
        </w:rPr>
        <w:t xml:space="preserve"> possible </w:t>
      </w:r>
      <w:proofErr w:type="spellStart"/>
      <w:r w:rsidRPr="001D0132">
        <w:rPr>
          <w:sz w:val="14"/>
          <w:szCs w:val="14"/>
        </w:rPr>
        <w:t>visit</w:t>
      </w:r>
      <w:proofErr w:type="spellEnd"/>
      <w:r w:rsidRPr="001D0132">
        <w:rPr>
          <w:sz w:val="14"/>
          <w:szCs w:val="14"/>
        </w:rPr>
        <w:t xml:space="preserve">. A </w:t>
      </w:r>
      <w:proofErr w:type="spellStart"/>
      <w:r w:rsidRPr="001D0132">
        <w:rPr>
          <w:sz w:val="14"/>
          <w:szCs w:val="14"/>
        </w:rPr>
        <w:t>fee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€ 300.00 (</w:t>
      </w:r>
      <w:proofErr w:type="spellStart"/>
      <w:r w:rsidRPr="001D0132">
        <w:rPr>
          <w:sz w:val="14"/>
          <w:szCs w:val="14"/>
        </w:rPr>
        <w:t>three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hundred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euros</w:t>
      </w:r>
      <w:proofErr w:type="spellEnd"/>
      <w:r w:rsidRPr="001D0132">
        <w:rPr>
          <w:sz w:val="14"/>
          <w:szCs w:val="14"/>
        </w:rPr>
        <w:t xml:space="preserve">)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paid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advance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visit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measurement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consultation</w:t>
      </w:r>
      <w:proofErr w:type="spellEnd"/>
      <w:r w:rsidRPr="001D0132">
        <w:rPr>
          <w:sz w:val="14"/>
          <w:szCs w:val="14"/>
        </w:rPr>
        <w:t xml:space="preserve">. </w:t>
      </w:r>
      <w:proofErr w:type="spellStart"/>
      <w:r w:rsidRPr="001D0132">
        <w:rPr>
          <w:sz w:val="14"/>
          <w:szCs w:val="14"/>
        </w:rPr>
        <w:t>Only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conclusion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performance</w:t>
      </w:r>
      <w:proofErr w:type="spellEnd"/>
      <w:r w:rsidRPr="001D0132">
        <w:rPr>
          <w:sz w:val="14"/>
          <w:szCs w:val="14"/>
        </w:rPr>
        <w:t>/</w:t>
      </w:r>
      <w:proofErr w:type="spellStart"/>
      <w:r w:rsidRPr="001D0132">
        <w:rPr>
          <w:sz w:val="14"/>
          <w:szCs w:val="14"/>
        </w:rPr>
        <w:t>fulfilment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will </w:t>
      </w:r>
      <w:proofErr w:type="spellStart"/>
      <w:r w:rsidRPr="001D0132">
        <w:rPr>
          <w:sz w:val="14"/>
          <w:szCs w:val="14"/>
        </w:rPr>
        <w:t>this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amount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credited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full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against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final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remuneration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paid</w:t>
      </w:r>
      <w:proofErr w:type="spellEnd"/>
      <w:r w:rsidRPr="001D0132">
        <w:rPr>
          <w:sz w:val="14"/>
          <w:szCs w:val="14"/>
        </w:rPr>
        <w:t xml:space="preserve">. </w:t>
      </w:r>
      <w:proofErr w:type="spellStart"/>
      <w:r w:rsidRPr="001D0132">
        <w:rPr>
          <w:sz w:val="14"/>
          <w:szCs w:val="14"/>
        </w:rPr>
        <w:t>Otherwise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reimbursement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excluded</w:t>
      </w:r>
      <w:proofErr w:type="spellEnd"/>
      <w:r w:rsidRPr="001D0132">
        <w:rPr>
          <w:sz w:val="14"/>
          <w:szCs w:val="14"/>
        </w:rPr>
        <w:t>.</w:t>
      </w:r>
    </w:p>
    <w:p w14:paraId="32373D76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As a </w:t>
      </w:r>
      <w:proofErr w:type="spellStart"/>
      <w:r w:rsidRPr="001D0132">
        <w:rPr>
          <w:sz w:val="14"/>
          <w:szCs w:val="14"/>
        </w:rPr>
        <w:t>rule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conclusion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preceded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preparation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an </w:t>
      </w:r>
      <w:proofErr w:type="spellStart"/>
      <w:r w:rsidRPr="001D0132">
        <w:rPr>
          <w:sz w:val="14"/>
          <w:szCs w:val="14"/>
        </w:rPr>
        <w:t>offer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after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visit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taken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place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concluded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written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confirmation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well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placed</w:t>
      </w:r>
      <w:proofErr w:type="spellEnd"/>
      <w:r w:rsidRPr="001D0132">
        <w:rPr>
          <w:sz w:val="14"/>
          <w:szCs w:val="14"/>
        </w:rPr>
        <w:t xml:space="preserve"> – </w:t>
      </w: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applicable</w:t>
      </w:r>
      <w:proofErr w:type="spellEnd"/>
      <w:r w:rsidRPr="001D0132">
        <w:rPr>
          <w:sz w:val="14"/>
          <w:szCs w:val="14"/>
        </w:rPr>
        <w:t xml:space="preserve"> also </w:t>
      </w:r>
      <w:proofErr w:type="spellStart"/>
      <w:r w:rsidRPr="001D0132">
        <w:rPr>
          <w:sz w:val="14"/>
          <w:szCs w:val="14"/>
        </w:rPr>
        <w:t>amended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accordance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offer</w:t>
      </w:r>
      <w:proofErr w:type="spellEnd"/>
      <w:r w:rsidRPr="001D0132">
        <w:rPr>
          <w:sz w:val="14"/>
          <w:szCs w:val="14"/>
        </w:rPr>
        <w:t xml:space="preserve"> –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Client.</w:t>
      </w:r>
    </w:p>
    <w:p w14:paraId="0279374D" w14:textId="636198FE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4 Right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Withdrawal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for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Consumers</w:t>
      </w:r>
      <w:proofErr w:type="spellEnd"/>
      <w:r w:rsidRPr="001D0132">
        <w:rPr>
          <w:b/>
          <w:bCs/>
          <w:sz w:val="14"/>
          <w:szCs w:val="14"/>
        </w:rPr>
        <w:t xml:space="preserve"> in Special Forms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Distribution</w:t>
      </w:r>
    </w:p>
    <w:p w14:paraId="7F4B2D95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</w:t>
      </w: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concluded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exclusively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distance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communication</w:t>
      </w:r>
      <w:proofErr w:type="spellEnd"/>
      <w:r w:rsidRPr="001D0132">
        <w:rPr>
          <w:sz w:val="14"/>
          <w:szCs w:val="14"/>
        </w:rPr>
        <w:t xml:space="preserve"> and a </w:t>
      </w:r>
      <w:proofErr w:type="spellStart"/>
      <w:r w:rsidRPr="001D0132">
        <w:rPr>
          <w:sz w:val="14"/>
          <w:szCs w:val="14"/>
        </w:rPr>
        <w:t>special</w:t>
      </w:r>
      <w:proofErr w:type="spellEnd"/>
      <w:r w:rsidRPr="001D0132">
        <w:rPr>
          <w:sz w:val="14"/>
          <w:szCs w:val="14"/>
        </w:rPr>
        <w:t xml:space="preserve"> form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distribution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meaning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§ 312b ff. BGB (German </w:t>
      </w:r>
      <w:proofErr w:type="spellStart"/>
      <w:r w:rsidRPr="001D0132">
        <w:rPr>
          <w:sz w:val="14"/>
          <w:szCs w:val="14"/>
        </w:rPr>
        <w:t>Civil</w:t>
      </w:r>
      <w:proofErr w:type="spellEnd"/>
      <w:r w:rsidRPr="001D0132">
        <w:rPr>
          <w:sz w:val="14"/>
          <w:szCs w:val="14"/>
        </w:rPr>
        <w:t xml:space="preserve"> Code) </w:t>
      </w:r>
      <w:proofErr w:type="spellStart"/>
      <w:r w:rsidRPr="001D0132">
        <w:rPr>
          <w:sz w:val="14"/>
          <w:szCs w:val="14"/>
        </w:rPr>
        <w:t>exists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Client, </w:t>
      </w: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consumer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may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withdraw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their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contractual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declaration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14 </w:t>
      </w:r>
      <w:proofErr w:type="spellStart"/>
      <w:r w:rsidRPr="001D0132">
        <w:rPr>
          <w:sz w:val="14"/>
          <w:szCs w:val="14"/>
        </w:rPr>
        <w:t>days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without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giving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reasons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text</w:t>
      </w:r>
      <w:proofErr w:type="spellEnd"/>
      <w:r w:rsidRPr="001D0132">
        <w:rPr>
          <w:sz w:val="14"/>
          <w:szCs w:val="14"/>
        </w:rPr>
        <w:t xml:space="preserve"> form (e.g. </w:t>
      </w:r>
      <w:proofErr w:type="spellStart"/>
      <w:r w:rsidRPr="001D0132">
        <w:rPr>
          <w:sz w:val="14"/>
          <w:szCs w:val="14"/>
        </w:rPr>
        <w:t>letter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fax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e-mail</w:t>
      </w:r>
      <w:proofErr w:type="spellEnd"/>
      <w:r w:rsidRPr="001D0132">
        <w:rPr>
          <w:sz w:val="14"/>
          <w:szCs w:val="14"/>
        </w:rPr>
        <w:t xml:space="preserve">). The </w:t>
      </w:r>
      <w:proofErr w:type="spellStart"/>
      <w:r w:rsidRPr="001D0132">
        <w:rPr>
          <w:sz w:val="14"/>
          <w:szCs w:val="14"/>
        </w:rPr>
        <w:t>period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begins</w:t>
      </w:r>
      <w:proofErr w:type="spellEnd"/>
      <w:r w:rsidRPr="001D0132">
        <w:rPr>
          <w:sz w:val="14"/>
          <w:szCs w:val="14"/>
        </w:rPr>
        <w:t xml:space="preserve"> upon </w:t>
      </w:r>
      <w:proofErr w:type="spellStart"/>
      <w:r w:rsidRPr="001D0132">
        <w:rPr>
          <w:sz w:val="14"/>
          <w:szCs w:val="14"/>
        </w:rPr>
        <w:t>receipt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instruction</w:t>
      </w:r>
      <w:proofErr w:type="spellEnd"/>
      <w:r w:rsidRPr="001D0132">
        <w:rPr>
          <w:sz w:val="14"/>
          <w:szCs w:val="14"/>
        </w:rPr>
        <w:t xml:space="preserve">, but not </w:t>
      </w:r>
      <w:proofErr w:type="spellStart"/>
      <w:r w:rsidRPr="001D0132">
        <w:rPr>
          <w:sz w:val="14"/>
          <w:szCs w:val="14"/>
        </w:rPr>
        <w:t>before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fulfilment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information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obligations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pursuant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§ 312d </w:t>
      </w:r>
      <w:proofErr w:type="spellStart"/>
      <w:r w:rsidRPr="001D0132">
        <w:rPr>
          <w:sz w:val="14"/>
          <w:szCs w:val="14"/>
        </w:rPr>
        <w:t>para</w:t>
      </w:r>
      <w:proofErr w:type="spellEnd"/>
      <w:r w:rsidRPr="001D0132">
        <w:rPr>
          <w:sz w:val="14"/>
          <w:szCs w:val="14"/>
        </w:rPr>
        <w:t xml:space="preserve">. 1 BGB. The </w:t>
      </w:r>
      <w:proofErr w:type="spellStart"/>
      <w:r w:rsidRPr="001D0132">
        <w:rPr>
          <w:sz w:val="14"/>
          <w:szCs w:val="14"/>
        </w:rPr>
        <w:t>withdrawal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addressed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: Sattlerei Hennig Betriebs GmbH &amp; Co. KG, Dorfstraße 16, 14662 Mühlenberge, OT </w:t>
      </w:r>
      <w:proofErr w:type="spellStart"/>
      <w:r w:rsidRPr="001D0132">
        <w:rPr>
          <w:sz w:val="14"/>
          <w:szCs w:val="14"/>
        </w:rPr>
        <w:t>Haage</w:t>
      </w:r>
      <w:proofErr w:type="spellEnd"/>
      <w:r w:rsidRPr="001D0132">
        <w:rPr>
          <w:sz w:val="14"/>
          <w:szCs w:val="14"/>
        </w:rPr>
        <w:t>, Fax: +49-(0) 33238/529 000, E-Mail: info@sattlerei-hennig.de</w:t>
      </w:r>
    </w:p>
    <w:p w14:paraId="02209835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an </w:t>
      </w:r>
      <w:proofErr w:type="spellStart"/>
      <w:r w:rsidRPr="001D0132">
        <w:rPr>
          <w:sz w:val="14"/>
          <w:szCs w:val="14"/>
        </w:rPr>
        <w:t>effective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withdrawal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services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received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both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parties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returned</w:t>
      </w:r>
      <w:proofErr w:type="spellEnd"/>
      <w:r w:rsidRPr="001D0132">
        <w:rPr>
          <w:sz w:val="14"/>
          <w:szCs w:val="14"/>
        </w:rPr>
        <w:t xml:space="preserve">.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parcel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returned</w:t>
      </w:r>
      <w:proofErr w:type="spellEnd"/>
      <w:r w:rsidRPr="001D0132">
        <w:rPr>
          <w:sz w:val="14"/>
          <w:szCs w:val="14"/>
        </w:rPr>
        <w:t xml:space="preserve">;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shipment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shall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borne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consumer</w:t>
      </w:r>
      <w:proofErr w:type="spellEnd"/>
      <w:r w:rsidRPr="001D0132">
        <w:rPr>
          <w:sz w:val="14"/>
          <w:szCs w:val="14"/>
        </w:rPr>
        <w:t xml:space="preserve">. </w:t>
      </w:r>
      <w:proofErr w:type="spellStart"/>
      <w:r w:rsidRPr="001D0132">
        <w:rPr>
          <w:sz w:val="14"/>
          <w:szCs w:val="14"/>
        </w:rPr>
        <w:t>Refunds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must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made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14 </w:t>
      </w:r>
      <w:proofErr w:type="spellStart"/>
      <w:r w:rsidRPr="001D0132">
        <w:rPr>
          <w:sz w:val="14"/>
          <w:szCs w:val="14"/>
        </w:rPr>
        <w:t>days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sending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notice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withdrawal</w:t>
      </w:r>
      <w:proofErr w:type="spellEnd"/>
      <w:r w:rsidRPr="001D0132">
        <w:rPr>
          <w:sz w:val="14"/>
          <w:szCs w:val="14"/>
        </w:rPr>
        <w:t>.</w:t>
      </w:r>
    </w:p>
    <w:p w14:paraId="377BE306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The </w:t>
      </w:r>
      <w:proofErr w:type="spellStart"/>
      <w:r w:rsidRPr="001D0132">
        <w:rPr>
          <w:sz w:val="14"/>
          <w:szCs w:val="14"/>
        </w:rPr>
        <w:t>right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withdrawal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does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apply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pursuant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§ 312g </w:t>
      </w:r>
      <w:proofErr w:type="spellStart"/>
      <w:r w:rsidRPr="001D0132">
        <w:rPr>
          <w:sz w:val="14"/>
          <w:szCs w:val="14"/>
        </w:rPr>
        <w:t>para</w:t>
      </w:r>
      <w:proofErr w:type="spellEnd"/>
      <w:r w:rsidRPr="001D0132">
        <w:rPr>
          <w:sz w:val="14"/>
          <w:szCs w:val="14"/>
        </w:rPr>
        <w:t xml:space="preserve">. 2 </w:t>
      </w:r>
      <w:proofErr w:type="spellStart"/>
      <w:r w:rsidRPr="001D0132">
        <w:rPr>
          <w:sz w:val="14"/>
          <w:szCs w:val="14"/>
        </w:rPr>
        <w:t>no</w:t>
      </w:r>
      <w:proofErr w:type="spellEnd"/>
      <w:r w:rsidRPr="001D0132">
        <w:rPr>
          <w:sz w:val="14"/>
          <w:szCs w:val="14"/>
        </w:rPr>
        <w:t xml:space="preserve">. 1 BGB – in </w:t>
      </w:r>
      <w:proofErr w:type="spellStart"/>
      <w:r w:rsidRPr="001D0132">
        <w:rPr>
          <w:sz w:val="14"/>
          <w:szCs w:val="14"/>
        </w:rPr>
        <w:t>particular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deliveries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manufactured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according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customer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specifications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clearly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tailored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personal </w:t>
      </w:r>
      <w:proofErr w:type="spellStart"/>
      <w:r w:rsidRPr="001D0132">
        <w:rPr>
          <w:sz w:val="14"/>
          <w:szCs w:val="14"/>
        </w:rPr>
        <w:t>needs</w:t>
      </w:r>
      <w:proofErr w:type="spellEnd"/>
      <w:r w:rsidRPr="001D0132">
        <w:rPr>
          <w:sz w:val="14"/>
          <w:szCs w:val="14"/>
        </w:rPr>
        <w:t>.</w:t>
      </w:r>
    </w:p>
    <w:p w14:paraId="119CE82E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Custom-made </w:t>
      </w:r>
      <w:proofErr w:type="spellStart"/>
      <w:r w:rsidRPr="001D0132">
        <w:rPr>
          <w:sz w:val="14"/>
          <w:szCs w:val="14"/>
        </w:rPr>
        <w:t>items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special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colours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sizes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excluded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exchanges</w:t>
      </w:r>
      <w:proofErr w:type="spellEnd"/>
      <w:r w:rsidRPr="001D0132">
        <w:rPr>
          <w:sz w:val="14"/>
          <w:szCs w:val="14"/>
        </w:rPr>
        <w:t>.</w:t>
      </w:r>
    </w:p>
    <w:p w14:paraId="5DAAC084" w14:textId="3655B8BC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>§ 5 Advance Payment</w:t>
      </w:r>
    </w:p>
    <w:p w14:paraId="7AA86C94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Germany, an </w:t>
      </w:r>
      <w:proofErr w:type="spellStart"/>
      <w:r w:rsidRPr="001D0132">
        <w:rPr>
          <w:sz w:val="14"/>
          <w:szCs w:val="14"/>
        </w:rPr>
        <w:t>advance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payment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50%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agreed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remuneration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amount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required</w:t>
      </w:r>
      <w:proofErr w:type="spellEnd"/>
      <w:r w:rsidRPr="001D0132">
        <w:rPr>
          <w:sz w:val="14"/>
          <w:szCs w:val="14"/>
        </w:rPr>
        <w:t>.</w:t>
      </w:r>
    </w:p>
    <w:p w14:paraId="2A5A67CC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</w:t>
      </w:r>
      <w:proofErr w:type="spellEnd"/>
      <w:r w:rsidRPr="001D0132">
        <w:rPr>
          <w:sz w:val="14"/>
          <w:szCs w:val="14"/>
        </w:rPr>
        <w:t xml:space="preserve"> outside Germany,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full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remuneration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paid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advance</w:t>
      </w:r>
      <w:proofErr w:type="spellEnd"/>
      <w:r w:rsidRPr="001D0132">
        <w:rPr>
          <w:sz w:val="14"/>
          <w:szCs w:val="14"/>
        </w:rPr>
        <w:t>.</w:t>
      </w:r>
    </w:p>
    <w:p w14:paraId="694CC4AA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other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orders</w:t>
      </w:r>
      <w:proofErr w:type="spellEnd"/>
      <w:r w:rsidRPr="001D0132">
        <w:rPr>
          <w:sz w:val="14"/>
          <w:szCs w:val="14"/>
        </w:rPr>
        <w:t xml:space="preserve">, an </w:t>
      </w:r>
      <w:proofErr w:type="spellStart"/>
      <w:r w:rsidRPr="001D0132">
        <w:rPr>
          <w:sz w:val="14"/>
          <w:szCs w:val="14"/>
        </w:rPr>
        <w:t>advance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payment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also </w:t>
      </w:r>
      <w:proofErr w:type="spellStart"/>
      <w:r w:rsidRPr="001D0132">
        <w:rPr>
          <w:sz w:val="14"/>
          <w:szCs w:val="14"/>
        </w:rPr>
        <w:t>required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amount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which</w:t>
      </w:r>
      <w:proofErr w:type="spellEnd"/>
      <w:r w:rsidRPr="001D0132">
        <w:rPr>
          <w:sz w:val="14"/>
          <w:szCs w:val="14"/>
        </w:rPr>
        <w:t xml:space="preserve"> will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communicated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separately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Client.</w:t>
      </w:r>
    </w:p>
    <w:p w14:paraId="3093E575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The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subject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condition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precedent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receipt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payment</w:t>
      </w:r>
      <w:proofErr w:type="spellEnd"/>
      <w:r w:rsidRPr="001D0132">
        <w:rPr>
          <w:sz w:val="14"/>
          <w:szCs w:val="14"/>
        </w:rPr>
        <w:t>.</w:t>
      </w:r>
    </w:p>
    <w:p w14:paraId="410ACB58" w14:textId="1DF73AB5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6 </w:t>
      </w:r>
      <w:proofErr w:type="spellStart"/>
      <w:r w:rsidRPr="001D0132">
        <w:rPr>
          <w:b/>
          <w:bCs/>
          <w:sz w:val="14"/>
          <w:szCs w:val="14"/>
        </w:rPr>
        <w:t>Delivery</w:t>
      </w:r>
      <w:proofErr w:type="spellEnd"/>
      <w:r w:rsidRPr="001D0132">
        <w:rPr>
          <w:b/>
          <w:bCs/>
          <w:sz w:val="14"/>
          <w:szCs w:val="14"/>
        </w:rPr>
        <w:t xml:space="preserve"> Deadlines / </w:t>
      </w:r>
      <w:proofErr w:type="spellStart"/>
      <w:r w:rsidRPr="001D0132">
        <w:rPr>
          <w:b/>
          <w:bCs/>
          <w:sz w:val="14"/>
          <w:szCs w:val="14"/>
        </w:rPr>
        <w:t>Handover</w:t>
      </w:r>
      <w:proofErr w:type="spellEnd"/>
    </w:p>
    <w:p w14:paraId="5627D4DF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</w:t>
      </w:r>
      <w:proofErr w:type="spellStart"/>
      <w:r w:rsidRPr="001D0132">
        <w:rPr>
          <w:sz w:val="14"/>
          <w:szCs w:val="14"/>
        </w:rPr>
        <w:t>Delivery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deadlines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given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our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knowledge</w:t>
      </w:r>
      <w:proofErr w:type="spellEnd"/>
      <w:r w:rsidRPr="001D0132">
        <w:rPr>
          <w:sz w:val="14"/>
          <w:szCs w:val="14"/>
        </w:rPr>
        <w:t xml:space="preserve"> but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binding</w:t>
      </w:r>
      <w:proofErr w:type="spellEnd"/>
      <w:r w:rsidRPr="001D0132">
        <w:rPr>
          <w:sz w:val="14"/>
          <w:szCs w:val="14"/>
        </w:rPr>
        <w:t>.</w:t>
      </w:r>
    </w:p>
    <w:p w14:paraId="511E4A0D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Force majeure and </w:t>
      </w:r>
      <w:proofErr w:type="spellStart"/>
      <w:r w:rsidRPr="001D0132">
        <w:rPr>
          <w:sz w:val="14"/>
          <w:szCs w:val="14"/>
        </w:rPr>
        <w:t>unforeseeable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serious</w:t>
      </w:r>
      <w:proofErr w:type="spellEnd"/>
      <w:r w:rsidRPr="001D0132">
        <w:rPr>
          <w:sz w:val="14"/>
          <w:szCs w:val="14"/>
        </w:rPr>
        <w:t xml:space="preserve"> operational </w:t>
      </w:r>
      <w:proofErr w:type="spellStart"/>
      <w:r w:rsidRPr="001D0132">
        <w:rPr>
          <w:sz w:val="14"/>
          <w:szCs w:val="14"/>
        </w:rPr>
        <w:t>disruptions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extend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delivery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deadline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duration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delay</w:t>
      </w:r>
      <w:proofErr w:type="spellEnd"/>
      <w:r w:rsidRPr="001D0132">
        <w:rPr>
          <w:sz w:val="14"/>
          <w:szCs w:val="14"/>
        </w:rPr>
        <w:t xml:space="preserve">. The Client will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informed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without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delay</w:t>
      </w:r>
      <w:proofErr w:type="spellEnd"/>
      <w:r w:rsidRPr="001D0132">
        <w:rPr>
          <w:sz w:val="14"/>
          <w:szCs w:val="14"/>
        </w:rPr>
        <w:t xml:space="preserve">.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unreasonably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delay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either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party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withdraw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>.</w:t>
      </w:r>
    </w:p>
    <w:p w14:paraId="120BA2CD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</w:t>
      </w: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handover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cannot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take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place</w:t>
      </w:r>
      <w:proofErr w:type="spellEnd"/>
      <w:r w:rsidRPr="001D0132">
        <w:rPr>
          <w:sz w:val="14"/>
          <w:szCs w:val="14"/>
        </w:rPr>
        <w:t xml:space="preserve"> at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agreed</w:t>
      </w:r>
      <w:proofErr w:type="spellEnd"/>
      <w:r w:rsidRPr="001D0132">
        <w:rPr>
          <w:sz w:val="14"/>
          <w:szCs w:val="14"/>
        </w:rPr>
        <w:t xml:space="preserve"> time due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circumstances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which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responsible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 </w:t>
      </w:r>
      <w:proofErr w:type="spellStart"/>
      <w:r w:rsidRPr="001D0132">
        <w:rPr>
          <w:sz w:val="14"/>
          <w:szCs w:val="14"/>
        </w:rPr>
        <w:t>shall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default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acceptance</w:t>
      </w:r>
      <w:proofErr w:type="spellEnd"/>
      <w:r w:rsidRPr="001D0132">
        <w:rPr>
          <w:sz w:val="14"/>
          <w:szCs w:val="14"/>
        </w:rPr>
        <w:t>.</w:t>
      </w:r>
    </w:p>
    <w:p w14:paraId="11ACBE5D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Storage </w:t>
      </w:r>
      <w:proofErr w:type="spellStart"/>
      <w:r w:rsidRPr="001D0132">
        <w:rPr>
          <w:sz w:val="14"/>
          <w:szCs w:val="14"/>
        </w:rPr>
        <w:t>costs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shall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borne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Client.</w:t>
      </w:r>
    </w:p>
    <w:p w14:paraId="0D21FB1B" w14:textId="230854DF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7 </w:t>
      </w:r>
      <w:proofErr w:type="spellStart"/>
      <w:r w:rsidRPr="001D0132">
        <w:rPr>
          <w:b/>
          <w:bCs/>
          <w:sz w:val="14"/>
          <w:szCs w:val="14"/>
        </w:rPr>
        <w:t>Withdrawal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from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Contract</w:t>
      </w:r>
      <w:proofErr w:type="spellEnd"/>
    </w:p>
    <w:p w14:paraId="21699B79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Client </w:t>
      </w:r>
      <w:proofErr w:type="spellStart"/>
      <w:r w:rsidRPr="001D0132">
        <w:rPr>
          <w:sz w:val="14"/>
          <w:szCs w:val="14"/>
        </w:rPr>
        <w:t>withdraws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reasons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which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responsible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demand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appropriate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compensation</w:t>
      </w:r>
      <w:proofErr w:type="spellEnd"/>
      <w:r w:rsidRPr="001D0132">
        <w:rPr>
          <w:sz w:val="14"/>
          <w:szCs w:val="14"/>
        </w:rPr>
        <w:t xml:space="preserve">.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withdrawal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up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1 </w:t>
      </w:r>
      <w:proofErr w:type="spellStart"/>
      <w:r w:rsidRPr="001D0132">
        <w:rPr>
          <w:sz w:val="14"/>
          <w:szCs w:val="14"/>
        </w:rPr>
        <w:t>month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after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</w:t>
      </w:r>
      <w:proofErr w:type="spellEnd"/>
      <w:r w:rsidRPr="001D0132">
        <w:rPr>
          <w:sz w:val="14"/>
          <w:szCs w:val="14"/>
        </w:rPr>
        <w:t xml:space="preserve">: 10% / </w:t>
      </w:r>
      <w:proofErr w:type="spellStart"/>
      <w:r w:rsidRPr="001D0132">
        <w:rPr>
          <w:sz w:val="14"/>
          <w:szCs w:val="14"/>
        </w:rPr>
        <w:t>up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2 </w:t>
      </w:r>
      <w:proofErr w:type="spellStart"/>
      <w:r w:rsidRPr="001D0132">
        <w:rPr>
          <w:sz w:val="14"/>
          <w:szCs w:val="14"/>
        </w:rPr>
        <w:t>months</w:t>
      </w:r>
      <w:proofErr w:type="spellEnd"/>
      <w:r w:rsidRPr="001D0132">
        <w:rPr>
          <w:sz w:val="14"/>
          <w:szCs w:val="14"/>
        </w:rPr>
        <w:t xml:space="preserve">: 20% / </w:t>
      </w:r>
      <w:proofErr w:type="spellStart"/>
      <w:r w:rsidRPr="001D0132">
        <w:rPr>
          <w:sz w:val="14"/>
          <w:szCs w:val="14"/>
        </w:rPr>
        <w:t>up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3 </w:t>
      </w:r>
      <w:proofErr w:type="spellStart"/>
      <w:r w:rsidRPr="001D0132">
        <w:rPr>
          <w:sz w:val="14"/>
          <w:szCs w:val="14"/>
        </w:rPr>
        <w:t>months</w:t>
      </w:r>
      <w:proofErr w:type="spellEnd"/>
      <w:r w:rsidRPr="001D0132">
        <w:rPr>
          <w:sz w:val="14"/>
          <w:szCs w:val="14"/>
        </w:rPr>
        <w:t xml:space="preserve">: 30% / </w:t>
      </w:r>
      <w:proofErr w:type="spellStart"/>
      <w:r w:rsidRPr="001D0132">
        <w:rPr>
          <w:sz w:val="14"/>
          <w:szCs w:val="14"/>
        </w:rPr>
        <w:t>up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4 </w:t>
      </w:r>
      <w:proofErr w:type="spellStart"/>
      <w:r w:rsidRPr="001D0132">
        <w:rPr>
          <w:sz w:val="14"/>
          <w:szCs w:val="14"/>
        </w:rPr>
        <w:t>months</w:t>
      </w:r>
      <w:proofErr w:type="spellEnd"/>
      <w:r w:rsidRPr="001D0132">
        <w:rPr>
          <w:sz w:val="14"/>
          <w:szCs w:val="14"/>
        </w:rPr>
        <w:t xml:space="preserve">: 60% /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5th </w:t>
      </w:r>
      <w:proofErr w:type="spellStart"/>
      <w:r w:rsidRPr="001D0132">
        <w:rPr>
          <w:sz w:val="14"/>
          <w:szCs w:val="14"/>
        </w:rPr>
        <w:t>month</w:t>
      </w:r>
      <w:proofErr w:type="spellEnd"/>
      <w:r w:rsidRPr="001D0132">
        <w:rPr>
          <w:sz w:val="14"/>
          <w:szCs w:val="14"/>
        </w:rPr>
        <w:t xml:space="preserve">: 80%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agreed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remuneration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amount</w:t>
      </w:r>
      <w:proofErr w:type="spellEnd"/>
      <w:r w:rsidRPr="001D0132">
        <w:rPr>
          <w:sz w:val="14"/>
          <w:szCs w:val="14"/>
        </w:rPr>
        <w:t xml:space="preserve">. The Client </w:t>
      </w:r>
      <w:proofErr w:type="spellStart"/>
      <w:r w:rsidRPr="001D0132">
        <w:rPr>
          <w:sz w:val="14"/>
          <w:szCs w:val="14"/>
        </w:rPr>
        <w:t>reserves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right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prove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lower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loss</w:t>
      </w:r>
      <w:proofErr w:type="spellEnd"/>
      <w:r w:rsidRPr="001D0132">
        <w:rPr>
          <w:sz w:val="14"/>
          <w:szCs w:val="14"/>
        </w:rPr>
        <w:t>.</w:t>
      </w:r>
    </w:p>
    <w:p w14:paraId="1875AD55" w14:textId="14EB4959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>§ 8 First Re-</w:t>
      </w:r>
      <w:proofErr w:type="spellStart"/>
      <w:r w:rsidRPr="001D0132">
        <w:rPr>
          <w:b/>
          <w:bCs/>
          <w:sz w:val="14"/>
          <w:szCs w:val="14"/>
        </w:rPr>
        <w:t>stuffing</w:t>
      </w:r>
      <w:proofErr w:type="spellEnd"/>
      <w:r w:rsidRPr="001D0132">
        <w:rPr>
          <w:b/>
          <w:bCs/>
          <w:sz w:val="14"/>
          <w:szCs w:val="14"/>
        </w:rPr>
        <w:t xml:space="preserve"> / Re-</w:t>
      </w:r>
      <w:proofErr w:type="spellStart"/>
      <w:r w:rsidRPr="001D0132">
        <w:rPr>
          <w:b/>
          <w:bCs/>
          <w:sz w:val="14"/>
          <w:szCs w:val="14"/>
        </w:rPr>
        <w:t>stuffing</w:t>
      </w:r>
      <w:proofErr w:type="spellEnd"/>
      <w:r w:rsidRPr="001D0132">
        <w:rPr>
          <w:b/>
          <w:bCs/>
          <w:sz w:val="14"/>
          <w:szCs w:val="14"/>
        </w:rPr>
        <w:t xml:space="preserve"> Work</w:t>
      </w:r>
    </w:p>
    <w:p w14:paraId="75874827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The </w:t>
      </w:r>
      <w:proofErr w:type="spellStart"/>
      <w:r w:rsidRPr="001D0132">
        <w:rPr>
          <w:sz w:val="14"/>
          <w:szCs w:val="14"/>
        </w:rPr>
        <w:t>first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re-stuffing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6 </w:t>
      </w:r>
      <w:proofErr w:type="spellStart"/>
      <w:r w:rsidRPr="001D0132">
        <w:rPr>
          <w:sz w:val="14"/>
          <w:szCs w:val="14"/>
        </w:rPr>
        <w:t>months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handover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measured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horse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free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charge</w:t>
      </w:r>
      <w:proofErr w:type="spellEnd"/>
      <w:r w:rsidRPr="001D0132">
        <w:rPr>
          <w:sz w:val="14"/>
          <w:szCs w:val="14"/>
        </w:rPr>
        <w:t xml:space="preserve">. Further </w:t>
      </w:r>
      <w:proofErr w:type="spellStart"/>
      <w:r w:rsidRPr="001D0132">
        <w:rPr>
          <w:sz w:val="14"/>
          <w:szCs w:val="14"/>
        </w:rPr>
        <w:t>re-stuffing</w:t>
      </w:r>
      <w:proofErr w:type="spellEnd"/>
      <w:r w:rsidRPr="001D0132">
        <w:rPr>
          <w:sz w:val="14"/>
          <w:szCs w:val="14"/>
        </w:rPr>
        <w:t>/</w:t>
      </w:r>
      <w:proofErr w:type="spellStart"/>
      <w:r w:rsidRPr="001D0132">
        <w:rPr>
          <w:sz w:val="14"/>
          <w:szCs w:val="14"/>
        </w:rPr>
        <w:t>adjustment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work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required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thereafter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subject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remuneration</w:t>
      </w:r>
      <w:proofErr w:type="spellEnd"/>
      <w:r w:rsidRPr="001D0132">
        <w:rPr>
          <w:sz w:val="14"/>
          <w:szCs w:val="14"/>
        </w:rPr>
        <w:t>.</w:t>
      </w:r>
    </w:p>
    <w:p w14:paraId="0ACCB010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</w:t>
      </w:r>
      <w:proofErr w:type="spellStart"/>
      <w:r w:rsidRPr="001D0132">
        <w:rPr>
          <w:sz w:val="14"/>
          <w:szCs w:val="14"/>
        </w:rPr>
        <w:t>Required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re-stuffing</w:t>
      </w:r>
      <w:proofErr w:type="spellEnd"/>
      <w:r w:rsidRPr="001D0132">
        <w:rPr>
          <w:sz w:val="14"/>
          <w:szCs w:val="14"/>
        </w:rPr>
        <w:t>/</w:t>
      </w:r>
      <w:proofErr w:type="spellStart"/>
      <w:r w:rsidRPr="001D0132">
        <w:rPr>
          <w:sz w:val="14"/>
          <w:szCs w:val="14"/>
        </w:rPr>
        <w:t>adjustment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work</w:t>
      </w:r>
      <w:proofErr w:type="spellEnd"/>
      <w:r w:rsidRPr="001D0132">
        <w:rPr>
          <w:sz w:val="14"/>
          <w:szCs w:val="14"/>
        </w:rPr>
        <w:t xml:space="preserve"> – cf. also § 9 – </w:t>
      </w:r>
      <w:proofErr w:type="spellStart"/>
      <w:r w:rsidRPr="001D0132">
        <w:rPr>
          <w:sz w:val="14"/>
          <w:szCs w:val="14"/>
        </w:rPr>
        <w:t>does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constitute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rectification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meaning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statutory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warranty</w:t>
      </w:r>
      <w:proofErr w:type="spellEnd"/>
      <w:r w:rsidRPr="001D0132">
        <w:rPr>
          <w:sz w:val="14"/>
          <w:szCs w:val="14"/>
        </w:rPr>
        <w:t>.</w:t>
      </w:r>
    </w:p>
    <w:p w14:paraId="1BB3B63A" w14:textId="641167EC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9 </w:t>
      </w:r>
      <w:proofErr w:type="spellStart"/>
      <w:r w:rsidRPr="001D0132">
        <w:rPr>
          <w:b/>
          <w:bCs/>
          <w:sz w:val="14"/>
          <w:szCs w:val="14"/>
        </w:rPr>
        <w:t>Instructions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for</w:t>
      </w:r>
      <w:proofErr w:type="spellEnd"/>
      <w:r w:rsidRPr="001D0132">
        <w:rPr>
          <w:b/>
          <w:bCs/>
          <w:sz w:val="14"/>
          <w:szCs w:val="14"/>
        </w:rPr>
        <w:t xml:space="preserve"> Use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a </w:t>
      </w:r>
      <w:proofErr w:type="spellStart"/>
      <w:r w:rsidRPr="001D0132">
        <w:rPr>
          <w:b/>
          <w:bCs/>
          <w:sz w:val="14"/>
          <w:szCs w:val="14"/>
        </w:rPr>
        <w:t>Newly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Ordered</w:t>
      </w:r>
      <w:proofErr w:type="spellEnd"/>
      <w:r w:rsidRPr="001D0132">
        <w:rPr>
          <w:b/>
          <w:bCs/>
          <w:sz w:val="14"/>
          <w:szCs w:val="14"/>
        </w:rPr>
        <w:t xml:space="preserve"> Saddle</w:t>
      </w:r>
    </w:p>
    <w:p w14:paraId="2000A4F9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Through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newly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fitted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regular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training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back </w:t>
      </w:r>
      <w:proofErr w:type="spellStart"/>
      <w:r w:rsidRPr="001D0132">
        <w:rPr>
          <w:sz w:val="14"/>
          <w:szCs w:val="14"/>
        </w:rPr>
        <w:t>musculature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fatty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tissue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horse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change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horse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may</w:t>
      </w:r>
      <w:proofErr w:type="spellEnd"/>
      <w:r w:rsidRPr="001D0132">
        <w:rPr>
          <w:sz w:val="14"/>
          <w:szCs w:val="14"/>
        </w:rPr>
        <w:t xml:space="preserve"> also </w:t>
      </w:r>
      <w:proofErr w:type="spellStart"/>
      <w:r w:rsidRPr="001D0132">
        <w:rPr>
          <w:sz w:val="14"/>
          <w:szCs w:val="14"/>
        </w:rPr>
        <w:t>gain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lose </w:t>
      </w:r>
      <w:proofErr w:type="spellStart"/>
      <w:r w:rsidRPr="001D0132">
        <w:rPr>
          <w:sz w:val="14"/>
          <w:szCs w:val="14"/>
        </w:rPr>
        <w:t>weight</w:t>
      </w:r>
      <w:proofErr w:type="spellEnd"/>
      <w:r w:rsidRPr="001D0132">
        <w:rPr>
          <w:sz w:val="14"/>
          <w:szCs w:val="14"/>
        </w:rPr>
        <w:t xml:space="preserve"> due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seasonal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illness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feeding-related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reasons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which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directly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affects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fit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should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only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horse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which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it</w:t>
      </w:r>
      <w:proofErr w:type="spellEnd"/>
      <w:r w:rsidRPr="001D0132">
        <w:rPr>
          <w:sz w:val="14"/>
          <w:szCs w:val="14"/>
        </w:rPr>
        <w:t xml:space="preserve"> was </w:t>
      </w:r>
      <w:proofErr w:type="spellStart"/>
      <w:r w:rsidRPr="001D0132">
        <w:rPr>
          <w:sz w:val="14"/>
          <w:szCs w:val="14"/>
        </w:rPr>
        <w:t>fitted</w:t>
      </w:r>
      <w:proofErr w:type="spellEnd"/>
      <w:r w:rsidRPr="001D0132">
        <w:rPr>
          <w:sz w:val="14"/>
          <w:szCs w:val="14"/>
        </w:rPr>
        <w:t xml:space="preserve">. A </w:t>
      </w:r>
      <w:proofErr w:type="spellStart"/>
      <w:r w:rsidRPr="001D0132">
        <w:rPr>
          <w:sz w:val="14"/>
          <w:szCs w:val="14"/>
        </w:rPr>
        <w:t>guarantee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fit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only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assumed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regard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time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handover</w:t>
      </w:r>
      <w:proofErr w:type="spellEnd"/>
      <w:r w:rsidRPr="001D0132">
        <w:rPr>
          <w:sz w:val="14"/>
          <w:szCs w:val="14"/>
        </w:rPr>
        <w:t>.</w:t>
      </w:r>
    </w:p>
    <w:p w14:paraId="55AA2CDE" w14:textId="18B62D9D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10 </w:t>
      </w:r>
      <w:proofErr w:type="spellStart"/>
      <w:r w:rsidRPr="001D0132">
        <w:rPr>
          <w:b/>
          <w:bCs/>
          <w:sz w:val="14"/>
          <w:szCs w:val="14"/>
        </w:rPr>
        <w:t>Warranty</w:t>
      </w:r>
      <w:proofErr w:type="spellEnd"/>
    </w:p>
    <w:p w14:paraId="7C882426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</w:t>
      </w:r>
      <w:proofErr w:type="spellStart"/>
      <w:r w:rsidRPr="001D0132">
        <w:rPr>
          <w:sz w:val="14"/>
          <w:szCs w:val="14"/>
        </w:rPr>
        <w:t>Consumers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must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report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obvious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defects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writing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2 </w:t>
      </w:r>
      <w:proofErr w:type="spellStart"/>
      <w:r w:rsidRPr="001D0132">
        <w:rPr>
          <w:sz w:val="14"/>
          <w:szCs w:val="14"/>
        </w:rPr>
        <w:t>months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discovery</w:t>
      </w:r>
      <w:proofErr w:type="spellEnd"/>
      <w:r w:rsidRPr="001D0132">
        <w:rPr>
          <w:sz w:val="14"/>
          <w:szCs w:val="14"/>
        </w:rPr>
        <w:t>.</w:t>
      </w:r>
    </w:p>
    <w:p w14:paraId="0DDFCE67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Entrepreneurs </w:t>
      </w:r>
      <w:proofErr w:type="spellStart"/>
      <w:r w:rsidRPr="001D0132">
        <w:rPr>
          <w:sz w:val="14"/>
          <w:szCs w:val="14"/>
        </w:rPr>
        <w:t>must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inspect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immediately</w:t>
      </w:r>
      <w:proofErr w:type="spellEnd"/>
      <w:r w:rsidRPr="001D0132">
        <w:rPr>
          <w:sz w:val="14"/>
          <w:szCs w:val="14"/>
        </w:rPr>
        <w:t xml:space="preserve"> upon </w:t>
      </w:r>
      <w:proofErr w:type="spellStart"/>
      <w:r w:rsidRPr="001D0132">
        <w:rPr>
          <w:sz w:val="14"/>
          <w:szCs w:val="14"/>
        </w:rPr>
        <w:t>delivery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report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recognisable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defects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writing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1 </w:t>
      </w:r>
      <w:proofErr w:type="spellStart"/>
      <w:r w:rsidRPr="001D0132">
        <w:rPr>
          <w:sz w:val="14"/>
          <w:szCs w:val="14"/>
        </w:rPr>
        <w:t>week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receipt</w:t>
      </w:r>
      <w:proofErr w:type="spellEnd"/>
      <w:r w:rsidRPr="001D0132">
        <w:rPr>
          <w:sz w:val="14"/>
          <w:szCs w:val="14"/>
        </w:rPr>
        <w:t xml:space="preserve">. </w:t>
      </w:r>
      <w:proofErr w:type="spellStart"/>
      <w:r w:rsidRPr="001D0132">
        <w:rPr>
          <w:sz w:val="14"/>
          <w:szCs w:val="14"/>
        </w:rPr>
        <w:t>Otherwise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warranty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claim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excluded</w:t>
      </w:r>
      <w:proofErr w:type="spellEnd"/>
      <w:r w:rsidRPr="001D0132">
        <w:rPr>
          <w:sz w:val="14"/>
          <w:szCs w:val="14"/>
        </w:rPr>
        <w:t>.</w:t>
      </w:r>
    </w:p>
    <w:p w14:paraId="5DFDFDFD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Hidden </w:t>
      </w:r>
      <w:proofErr w:type="spellStart"/>
      <w:r w:rsidRPr="001D0132">
        <w:rPr>
          <w:sz w:val="14"/>
          <w:szCs w:val="14"/>
        </w:rPr>
        <w:t>defects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must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reported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writing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within</w:t>
      </w:r>
      <w:proofErr w:type="spellEnd"/>
      <w:r w:rsidRPr="001D0132">
        <w:rPr>
          <w:sz w:val="14"/>
          <w:szCs w:val="14"/>
        </w:rPr>
        <w:t xml:space="preserve"> 1 </w:t>
      </w:r>
      <w:proofErr w:type="spellStart"/>
      <w:r w:rsidRPr="001D0132">
        <w:rPr>
          <w:sz w:val="14"/>
          <w:szCs w:val="14"/>
        </w:rPr>
        <w:t>week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discovery</w:t>
      </w:r>
      <w:proofErr w:type="spellEnd"/>
      <w:r w:rsidRPr="001D0132">
        <w:rPr>
          <w:sz w:val="14"/>
          <w:szCs w:val="14"/>
        </w:rPr>
        <w:t>.</w:t>
      </w:r>
    </w:p>
    <w:p w14:paraId="22DC7468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</w:t>
      </w:r>
      <w:proofErr w:type="spellStart"/>
      <w:r w:rsidRPr="001D0132">
        <w:rPr>
          <w:sz w:val="14"/>
          <w:szCs w:val="14"/>
        </w:rPr>
        <w:t>No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warranty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assumed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ordinary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wear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tear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defects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caused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improper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handling</w:t>
      </w:r>
      <w:proofErr w:type="spellEnd"/>
      <w:r w:rsidRPr="001D0132">
        <w:rPr>
          <w:sz w:val="14"/>
          <w:szCs w:val="14"/>
        </w:rPr>
        <w:t>, cf. also § 9.</w:t>
      </w:r>
    </w:p>
    <w:p w14:paraId="198D2A3E" w14:textId="5F037641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11 </w:t>
      </w:r>
      <w:proofErr w:type="spellStart"/>
      <w:r w:rsidRPr="001D0132">
        <w:rPr>
          <w:b/>
          <w:bCs/>
          <w:sz w:val="14"/>
          <w:szCs w:val="14"/>
        </w:rPr>
        <w:t>Limitations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Liability</w:t>
      </w:r>
      <w:proofErr w:type="spellEnd"/>
    </w:p>
    <w:p w14:paraId="579A4DEF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damage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caused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slight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negligence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liability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limited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contractually</w:t>
      </w:r>
      <w:proofErr w:type="spellEnd"/>
      <w:r w:rsidRPr="001D0132">
        <w:rPr>
          <w:sz w:val="14"/>
          <w:szCs w:val="14"/>
        </w:rPr>
        <w:t xml:space="preserve"> essential </w:t>
      </w:r>
      <w:proofErr w:type="spellStart"/>
      <w:r w:rsidRPr="001D0132">
        <w:rPr>
          <w:sz w:val="14"/>
          <w:szCs w:val="14"/>
        </w:rPr>
        <w:t>obligations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foreseeable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typical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average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damage</w:t>
      </w:r>
      <w:proofErr w:type="spellEnd"/>
      <w:r w:rsidRPr="001D0132">
        <w:rPr>
          <w:sz w:val="14"/>
          <w:szCs w:val="14"/>
        </w:rPr>
        <w:t>.</w:t>
      </w:r>
    </w:p>
    <w:p w14:paraId="55ACB99E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slightly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negligent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breaches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obligations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not essential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its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agents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shall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liable</w:t>
      </w:r>
      <w:proofErr w:type="spellEnd"/>
      <w:r w:rsidRPr="001D0132">
        <w:rPr>
          <w:sz w:val="14"/>
          <w:szCs w:val="14"/>
        </w:rPr>
        <w:t>.</w:t>
      </w:r>
    </w:p>
    <w:p w14:paraId="5E59BC89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These </w:t>
      </w:r>
      <w:proofErr w:type="spellStart"/>
      <w:r w:rsidRPr="001D0132">
        <w:rPr>
          <w:sz w:val="14"/>
          <w:szCs w:val="14"/>
        </w:rPr>
        <w:t>limitations</w:t>
      </w:r>
      <w:proofErr w:type="spellEnd"/>
      <w:r w:rsidRPr="001D0132">
        <w:rPr>
          <w:sz w:val="14"/>
          <w:szCs w:val="14"/>
        </w:rPr>
        <w:t xml:space="preserve"> do not </w:t>
      </w:r>
      <w:proofErr w:type="spellStart"/>
      <w:r w:rsidRPr="001D0132">
        <w:rPr>
          <w:sz w:val="14"/>
          <w:szCs w:val="14"/>
        </w:rPr>
        <w:t>affect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claims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arising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product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liability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guarantee</w:t>
      </w:r>
      <w:proofErr w:type="spellEnd"/>
      <w:r w:rsidRPr="001D0132">
        <w:rPr>
          <w:sz w:val="14"/>
          <w:szCs w:val="14"/>
        </w:rPr>
        <w:t>.</w:t>
      </w:r>
    </w:p>
    <w:p w14:paraId="50ADC41A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lastRenderedPageBreak/>
        <w:t xml:space="preserve">(4) </w:t>
      </w:r>
      <w:proofErr w:type="spellStart"/>
      <w:r w:rsidRPr="001D0132">
        <w:rPr>
          <w:sz w:val="14"/>
          <w:szCs w:val="14"/>
        </w:rPr>
        <w:t>Limitations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liability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physical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health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damage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loss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life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customer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excluded</w:t>
      </w:r>
      <w:proofErr w:type="spellEnd"/>
      <w:r w:rsidRPr="001D0132">
        <w:rPr>
          <w:sz w:val="14"/>
          <w:szCs w:val="14"/>
        </w:rPr>
        <w:t>.</w:t>
      </w:r>
    </w:p>
    <w:p w14:paraId="05DF0956" w14:textId="55559E7B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12 Limitation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Warranty</w:t>
      </w:r>
      <w:proofErr w:type="spellEnd"/>
      <w:r w:rsidRPr="001D0132">
        <w:rPr>
          <w:b/>
          <w:bCs/>
          <w:sz w:val="14"/>
          <w:szCs w:val="14"/>
        </w:rPr>
        <w:t xml:space="preserve"> Claims</w:t>
      </w:r>
    </w:p>
    <w:p w14:paraId="5875D19A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newly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manufactured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warranty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period</w:t>
      </w:r>
      <w:proofErr w:type="spellEnd"/>
      <w:r w:rsidRPr="001D0132">
        <w:rPr>
          <w:sz w:val="14"/>
          <w:szCs w:val="14"/>
        </w:rPr>
        <w:t xml:space="preserve"> vis-à-vis </w:t>
      </w:r>
      <w:proofErr w:type="spellStart"/>
      <w:r w:rsidRPr="001D0132">
        <w:rPr>
          <w:sz w:val="14"/>
          <w:szCs w:val="14"/>
        </w:rPr>
        <w:t>consumers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2 </w:t>
      </w:r>
      <w:proofErr w:type="spellStart"/>
      <w:r w:rsidRPr="001D0132">
        <w:rPr>
          <w:sz w:val="14"/>
          <w:szCs w:val="14"/>
        </w:rPr>
        <w:t>years</w:t>
      </w:r>
      <w:proofErr w:type="spellEnd"/>
      <w:r w:rsidRPr="001D0132">
        <w:rPr>
          <w:sz w:val="14"/>
          <w:szCs w:val="14"/>
        </w:rPr>
        <w:t xml:space="preserve">, and vis-à-vis </w:t>
      </w:r>
      <w:proofErr w:type="spellStart"/>
      <w:r w:rsidRPr="001D0132">
        <w:rPr>
          <w:sz w:val="14"/>
          <w:szCs w:val="14"/>
        </w:rPr>
        <w:t>entrepreneurs</w:t>
      </w:r>
      <w:proofErr w:type="spellEnd"/>
      <w:r w:rsidRPr="001D0132">
        <w:rPr>
          <w:sz w:val="14"/>
          <w:szCs w:val="14"/>
        </w:rPr>
        <w:t xml:space="preserve"> 1 </w:t>
      </w:r>
      <w:proofErr w:type="spellStart"/>
      <w:r w:rsidRPr="001D0132">
        <w:rPr>
          <w:sz w:val="14"/>
          <w:szCs w:val="14"/>
        </w:rPr>
        <w:t>year</w:t>
      </w:r>
      <w:proofErr w:type="spellEnd"/>
      <w:r w:rsidRPr="001D0132">
        <w:rPr>
          <w:sz w:val="14"/>
          <w:szCs w:val="14"/>
        </w:rPr>
        <w:t>.</w:t>
      </w:r>
    </w:p>
    <w:p w14:paraId="3AF6E4FA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warranty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period</w:t>
      </w:r>
      <w:proofErr w:type="spellEnd"/>
      <w:r w:rsidRPr="001D0132">
        <w:rPr>
          <w:sz w:val="14"/>
          <w:szCs w:val="14"/>
        </w:rPr>
        <w:t xml:space="preserve"> vis-à-vis </w:t>
      </w:r>
      <w:proofErr w:type="spellStart"/>
      <w:r w:rsidRPr="001D0132">
        <w:rPr>
          <w:sz w:val="14"/>
          <w:szCs w:val="14"/>
        </w:rPr>
        <w:t>consumers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entrepreneurs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1 </w:t>
      </w:r>
      <w:proofErr w:type="spellStart"/>
      <w:r w:rsidRPr="001D0132">
        <w:rPr>
          <w:sz w:val="14"/>
          <w:szCs w:val="14"/>
        </w:rPr>
        <w:t>year</w:t>
      </w:r>
      <w:proofErr w:type="spellEnd"/>
      <w:r w:rsidRPr="001D0132">
        <w:rPr>
          <w:sz w:val="14"/>
          <w:szCs w:val="14"/>
        </w:rPr>
        <w:t>.</w:t>
      </w:r>
    </w:p>
    <w:p w14:paraId="2CBB111B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The </w:t>
      </w:r>
      <w:proofErr w:type="spellStart"/>
      <w:r w:rsidRPr="001D0132">
        <w:rPr>
          <w:sz w:val="14"/>
          <w:szCs w:val="14"/>
        </w:rPr>
        <w:t>period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begins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handover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>.</w:t>
      </w:r>
    </w:p>
    <w:p w14:paraId="70368E9D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</w:t>
      </w:r>
      <w:proofErr w:type="spellStart"/>
      <w:r w:rsidRPr="001D0132">
        <w:rPr>
          <w:sz w:val="14"/>
          <w:szCs w:val="14"/>
        </w:rPr>
        <w:t>Wear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parts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defects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caused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improper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excluded</w:t>
      </w:r>
      <w:proofErr w:type="spellEnd"/>
      <w:r w:rsidRPr="001D0132">
        <w:rPr>
          <w:sz w:val="14"/>
          <w:szCs w:val="14"/>
        </w:rPr>
        <w:t>.</w:t>
      </w:r>
    </w:p>
    <w:p w14:paraId="5822251A" w14:textId="4B3CA298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13 Retention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Title</w:t>
      </w:r>
    </w:p>
    <w:p w14:paraId="158EFFC3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The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remain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property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until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full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receipt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agreed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remuneration</w:t>
      </w:r>
      <w:proofErr w:type="spellEnd"/>
      <w:r w:rsidRPr="001D0132">
        <w:rPr>
          <w:sz w:val="14"/>
          <w:szCs w:val="14"/>
        </w:rPr>
        <w:t xml:space="preserve">.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default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payment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entitled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demand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delivered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customer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obligated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>.</w:t>
      </w:r>
    </w:p>
    <w:p w14:paraId="7081A85C" w14:textId="32703431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14 Rental </w:t>
      </w:r>
      <w:proofErr w:type="spellStart"/>
      <w:r w:rsidRPr="001D0132">
        <w:rPr>
          <w:b/>
          <w:bCs/>
          <w:sz w:val="14"/>
          <w:szCs w:val="14"/>
        </w:rPr>
        <w:t>Saddles</w:t>
      </w:r>
      <w:proofErr w:type="spellEnd"/>
      <w:r w:rsidRPr="001D0132">
        <w:rPr>
          <w:b/>
          <w:bCs/>
          <w:sz w:val="14"/>
          <w:szCs w:val="14"/>
        </w:rPr>
        <w:t xml:space="preserve"> / Rental</w:t>
      </w:r>
    </w:p>
    <w:p w14:paraId="3924CAE2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Rental </w:t>
      </w:r>
      <w:proofErr w:type="spellStart"/>
      <w:r w:rsidRPr="001D0132">
        <w:rPr>
          <w:sz w:val="14"/>
          <w:szCs w:val="14"/>
        </w:rPr>
        <w:t>saddles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only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provided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bridge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delivery</w:t>
      </w:r>
      <w:proofErr w:type="spellEnd"/>
      <w:r w:rsidRPr="001D0132">
        <w:rPr>
          <w:sz w:val="14"/>
          <w:szCs w:val="14"/>
        </w:rPr>
        <w:t xml:space="preserve"> time </w:t>
      </w:r>
      <w:proofErr w:type="spellStart"/>
      <w:r w:rsidRPr="001D0132">
        <w:rPr>
          <w:sz w:val="14"/>
          <w:szCs w:val="14"/>
        </w:rPr>
        <w:t>when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new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bindingly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ordered</w:t>
      </w:r>
      <w:proofErr w:type="spellEnd"/>
      <w:r w:rsidRPr="001D0132">
        <w:rPr>
          <w:sz w:val="14"/>
          <w:szCs w:val="14"/>
        </w:rPr>
        <w:t xml:space="preserve"> (</w:t>
      </w:r>
      <w:proofErr w:type="spellStart"/>
      <w:r w:rsidRPr="001D0132">
        <w:rPr>
          <w:sz w:val="14"/>
          <w:szCs w:val="14"/>
        </w:rPr>
        <w:t>excluding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leased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saddles</w:t>
      </w:r>
      <w:proofErr w:type="spellEnd"/>
      <w:r w:rsidRPr="001D0132">
        <w:rPr>
          <w:sz w:val="14"/>
          <w:szCs w:val="14"/>
        </w:rPr>
        <w:t>).</w:t>
      </w:r>
    </w:p>
    <w:p w14:paraId="53880483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The </w:t>
      </w:r>
      <w:proofErr w:type="spellStart"/>
      <w:r w:rsidRPr="001D0132">
        <w:rPr>
          <w:sz w:val="14"/>
          <w:szCs w:val="14"/>
        </w:rPr>
        <w:t>rental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agreement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begins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handover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ends</w:t>
      </w:r>
      <w:proofErr w:type="spellEnd"/>
      <w:r w:rsidRPr="001D0132">
        <w:rPr>
          <w:sz w:val="14"/>
          <w:szCs w:val="14"/>
        </w:rPr>
        <w:t xml:space="preserve"> upon </w:t>
      </w:r>
      <w:proofErr w:type="spellStart"/>
      <w:r w:rsidRPr="001D0132">
        <w:rPr>
          <w:sz w:val="14"/>
          <w:szCs w:val="14"/>
        </w:rPr>
        <w:t>completion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without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notice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termination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renter</w:t>
      </w:r>
      <w:proofErr w:type="spellEnd"/>
      <w:r w:rsidRPr="001D0132">
        <w:rPr>
          <w:sz w:val="14"/>
          <w:szCs w:val="14"/>
        </w:rPr>
        <w:t xml:space="preserve"> at </w:t>
      </w:r>
      <w:proofErr w:type="spellStart"/>
      <w:r w:rsidRPr="001D0132">
        <w:rPr>
          <w:sz w:val="14"/>
          <w:szCs w:val="14"/>
        </w:rPr>
        <w:t>their</w:t>
      </w:r>
      <w:proofErr w:type="spellEnd"/>
      <w:r w:rsidRPr="001D0132">
        <w:rPr>
          <w:sz w:val="14"/>
          <w:szCs w:val="14"/>
        </w:rPr>
        <w:t xml:space="preserve"> own </w:t>
      </w:r>
      <w:proofErr w:type="spellStart"/>
      <w:r w:rsidRPr="001D0132">
        <w:rPr>
          <w:sz w:val="14"/>
          <w:szCs w:val="14"/>
        </w:rPr>
        <w:t>expense</w:t>
      </w:r>
      <w:proofErr w:type="spellEnd"/>
      <w:r w:rsidRPr="001D0132">
        <w:rPr>
          <w:sz w:val="14"/>
          <w:szCs w:val="14"/>
        </w:rPr>
        <w:t>.</w:t>
      </w:r>
    </w:p>
    <w:p w14:paraId="2421E936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time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acceptance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until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liable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loss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damage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diminution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value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without</w:t>
      </w:r>
      <w:proofErr w:type="spellEnd"/>
      <w:r w:rsidRPr="001D0132">
        <w:rPr>
          <w:sz w:val="14"/>
          <w:szCs w:val="14"/>
        </w:rPr>
        <w:t xml:space="preserve"> fault.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loss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must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replacement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value</w:t>
      </w:r>
      <w:proofErr w:type="spellEnd"/>
      <w:r w:rsidRPr="001D0132">
        <w:rPr>
          <w:sz w:val="14"/>
          <w:szCs w:val="14"/>
        </w:rPr>
        <w:t>.</w:t>
      </w:r>
    </w:p>
    <w:p w14:paraId="43FC8B5E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The </w:t>
      </w:r>
      <w:proofErr w:type="spellStart"/>
      <w:r w:rsidRPr="001D0132">
        <w:rPr>
          <w:sz w:val="14"/>
          <w:szCs w:val="14"/>
        </w:rPr>
        <w:t>rental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fee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€ 500 </w:t>
      </w:r>
      <w:proofErr w:type="spellStart"/>
      <w:r w:rsidRPr="001D0132">
        <w:rPr>
          <w:sz w:val="14"/>
          <w:szCs w:val="14"/>
        </w:rPr>
        <w:t>until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end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period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due upon </w:t>
      </w:r>
      <w:proofErr w:type="spellStart"/>
      <w:r w:rsidRPr="001D0132">
        <w:rPr>
          <w:sz w:val="14"/>
          <w:szCs w:val="14"/>
        </w:rPr>
        <w:t>receipt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>.</w:t>
      </w:r>
    </w:p>
    <w:p w14:paraId="4A7B6B51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(5) A </w:t>
      </w:r>
      <w:proofErr w:type="spellStart"/>
      <w:r w:rsidRPr="001D0132">
        <w:rPr>
          <w:sz w:val="14"/>
          <w:szCs w:val="14"/>
        </w:rPr>
        <w:t>tacit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extension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agreement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deviating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§ 545 BGB </w:t>
      </w:r>
      <w:proofErr w:type="spellStart"/>
      <w:r w:rsidRPr="001D0132">
        <w:rPr>
          <w:sz w:val="14"/>
          <w:szCs w:val="14"/>
        </w:rPr>
        <w:t>shall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take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effect</w:t>
      </w:r>
      <w:proofErr w:type="spellEnd"/>
      <w:r w:rsidRPr="001D0132">
        <w:rPr>
          <w:sz w:val="14"/>
          <w:szCs w:val="14"/>
        </w:rPr>
        <w:t>.</w:t>
      </w:r>
    </w:p>
    <w:p w14:paraId="7BD0D7EA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(6)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event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non-return </w:t>
      </w:r>
      <w:proofErr w:type="spellStart"/>
      <w:r w:rsidRPr="001D0132">
        <w:rPr>
          <w:sz w:val="14"/>
          <w:szCs w:val="14"/>
        </w:rPr>
        <w:t>despite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request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compensation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pursuant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§ 546a </w:t>
      </w:r>
      <w:proofErr w:type="spellStart"/>
      <w:r w:rsidRPr="001D0132">
        <w:rPr>
          <w:sz w:val="14"/>
          <w:szCs w:val="14"/>
        </w:rPr>
        <w:t>para</w:t>
      </w:r>
      <w:proofErr w:type="spellEnd"/>
      <w:r w:rsidRPr="001D0132">
        <w:rPr>
          <w:sz w:val="14"/>
          <w:szCs w:val="14"/>
        </w:rPr>
        <w:t xml:space="preserve">. 1 BGB </w:t>
      </w:r>
      <w:proofErr w:type="spellStart"/>
      <w:r w:rsidRPr="001D0132">
        <w:rPr>
          <w:sz w:val="14"/>
          <w:szCs w:val="14"/>
        </w:rPr>
        <w:t>amounts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€ 70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each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commenced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month</w:t>
      </w:r>
      <w:proofErr w:type="spellEnd"/>
      <w:r w:rsidRPr="001D0132">
        <w:rPr>
          <w:sz w:val="14"/>
          <w:szCs w:val="14"/>
        </w:rPr>
        <w:t>.</w:t>
      </w:r>
    </w:p>
    <w:p w14:paraId="15F835E1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>(7) Re-</w:t>
      </w:r>
      <w:proofErr w:type="spellStart"/>
      <w:r w:rsidRPr="001D0132">
        <w:rPr>
          <w:sz w:val="14"/>
          <w:szCs w:val="14"/>
        </w:rPr>
        <w:t>stuffing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repair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adjustment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work</w:t>
      </w:r>
      <w:proofErr w:type="spellEnd"/>
      <w:r w:rsidRPr="001D0132">
        <w:rPr>
          <w:sz w:val="14"/>
          <w:szCs w:val="14"/>
        </w:rPr>
        <w:t xml:space="preserve"> at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request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renter</w:t>
      </w:r>
      <w:proofErr w:type="spellEnd"/>
      <w:r w:rsidRPr="001D0132">
        <w:rPr>
          <w:sz w:val="14"/>
          <w:szCs w:val="14"/>
        </w:rPr>
        <w:t xml:space="preserve"> will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charged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separately</w:t>
      </w:r>
      <w:proofErr w:type="spellEnd"/>
      <w:r w:rsidRPr="001D0132">
        <w:rPr>
          <w:sz w:val="14"/>
          <w:szCs w:val="14"/>
        </w:rPr>
        <w:t>.</w:t>
      </w:r>
    </w:p>
    <w:p w14:paraId="4E014C98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(8) The </w:t>
      </w:r>
      <w:proofErr w:type="spellStart"/>
      <w:r w:rsidRPr="001D0132">
        <w:rPr>
          <w:sz w:val="14"/>
          <w:szCs w:val="14"/>
        </w:rPr>
        <w:t>right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ordinary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extraordinary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termination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accordance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statutory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provisions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remains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unaffected</w:t>
      </w:r>
      <w:proofErr w:type="spellEnd"/>
      <w:r w:rsidRPr="001D0132">
        <w:rPr>
          <w:sz w:val="14"/>
          <w:szCs w:val="14"/>
        </w:rPr>
        <w:t>.</w:t>
      </w:r>
    </w:p>
    <w:p w14:paraId="6A187D2A" w14:textId="7731D690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15 </w:t>
      </w:r>
      <w:proofErr w:type="spellStart"/>
      <w:r w:rsidRPr="001D0132">
        <w:rPr>
          <w:b/>
          <w:bCs/>
          <w:sz w:val="14"/>
          <w:szCs w:val="14"/>
        </w:rPr>
        <w:t>Applicable</w:t>
      </w:r>
      <w:proofErr w:type="spellEnd"/>
      <w:r w:rsidRPr="001D0132">
        <w:rPr>
          <w:b/>
          <w:bCs/>
          <w:sz w:val="14"/>
          <w:szCs w:val="14"/>
        </w:rPr>
        <w:t xml:space="preserve"> Law, </w:t>
      </w:r>
      <w:proofErr w:type="spellStart"/>
      <w:r w:rsidRPr="001D0132">
        <w:rPr>
          <w:b/>
          <w:bCs/>
          <w:sz w:val="14"/>
          <w:szCs w:val="14"/>
        </w:rPr>
        <w:t>Jurisdiction</w:t>
      </w:r>
      <w:proofErr w:type="spellEnd"/>
    </w:p>
    <w:p w14:paraId="4886B2F6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The </w:t>
      </w:r>
      <w:proofErr w:type="spellStart"/>
      <w:r w:rsidRPr="001D0132">
        <w:rPr>
          <w:sz w:val="14"/>
          <w:szCs w:val="14"/>
        </w:rPr>
        <w:t>contracts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subject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German </w:t>
      </w:r>
      <w:proofErr w:type="spellStart"/>
      <w:r w:rsidRPr="001D0132">
        <w:rPr>
          <w:sz w:val="14"/>
          <w:szCs w:val="14"/>
        </w:rPr>
        <w:t>law</w:t>
      </w:r>
      <w:proofErr w:type="spellEnd"/>
      <w:r w:rsidRPr="001D0132">
        <w:rPr>
          <w:sz w:val="14"/>
          <w:szCs w:val="14"/>
        </w:rPr>
        <w:t xml:space="preserve">. The UN Convention on </w:t>
      </w:r>
      <w:proofErr w:type="spellStart"/>
      <w:r w:rsidRPr="001D0132">
        <w:rPr>
          <w:sz w:val="14"/>
          <w:szCs w:val="14"/>
        </w:rPr>
        <w:t>Contracts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International Sale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Goods</w:t>
      </w:r>
      <w:proofErr w:type="spellEnd"/>
      <w:r w:rsidRPr="001D0132">
        <w:rPr>
          <w:sz w:val="14"/>
          <w:szCs w:val="14"/>
        </w:rPr>
        <w:t xml:space="preserve"> (CISG) </w:t>
      </w:r>
      <w:proofErr w:type="spellStart"/>
      <w:r w:rsidRPr="001D0132">
        <w:rPr>
          <w:sz w:val="14"/>
          <w:szCs w:val="14"/>
        </w:rPr>
        <w:t>does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apply</w:t>
      </w:r>
      <w:proofErr w:type="spellEnd"/>
      <w:r w:rsidRPr="001D0132">
        <w:rPr>
          <w:sz w:val="14"/>
          <w:szCs w:val="14"/>
        </w:rPr>
        <w:t>.</w:t>
      </w:r>
    </w:p>
    <w:p w14:paraId="12EA382A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The </w:t>
      </w:r>
      <w:proofErr w:type="spellStart"/>
      <w:r w:rsidRPr="001D0132">
        <w:rPr>
          <w:sz w:val="14"/>
          <w:szCs w:val="14"/>
        </w:rPr>
        <w:t>place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jurisdiction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merchants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location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registered </w:t>
      </w:r>
      <w:proofErr w:type="spellStart"/>
      <w:r w:rsidRPr="001D0132">
        <w:rPr>
          <w:sz w:val="14"/>
          <w:szCs w:val="14"/>
        </w:rPr>
        <w:t>office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>.</w:t>
      </w:r>
    </w:p>
    <w:p w14:paraId="0F5D15B6" w14:textId="2B8B1D27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16 Data </w:t>
      </w:r>
      <w:proofErr w:type="spellStart"/>
      <w:r w:rsidRPr="001D0132">
        <w:rPr>
          <w:b/>
          <w:bCs/>
          <w:sz w:val="14"/>
          <w:szCs w:val="14"/>
        </w:rPr>
        <w:t>Protection</w:t>
      </w:r>
      <w:proofErr w:type="spellEnd"/>
      <w:r w:rsidRPr="001D0132">
        <w:rPr>
          <w:b/>
          <w:bCs/>
          <w:sz w:val="14"/>
          <w:szCs w:val="14"/>
        </w:rPr>
        <w:t xml:space="preserve"> (GDPR)</w:t>
      </w:r>
    </w:p>
    <w:p w14:paraId="0116ADEE" w14:textId="77777777" w:rsidR="008D5C14" w:rsidRPr="001D0132" w:rsidRDefault="00000000">
      <w:pPr>
        <w:spacing w:before="60" w:after="60"/>
        <w:rPr>
          <w:sz w:val="14"/>
          <w:szCs w:val="14"/>
        </w:rPr>
      </w:pPr>
      <w:proofErr w:type="spellStart"/>
      <w:r w:rsidRPr="001D0132">
        <w:rPr>
          <w:sz w:val="14"/>
          <w:szCs w:val="14"/>
        </w:rPr>
        <w:t>We</w:t>
      </w:r>
      <w:proofErr w:type="spellEnd"/>
      <w:r w:rsidRPr="001D0132">
        <w:rPr>
          <w:sz w:val="14"/>
          <w:szCs w:val="14"/>
        </w:rPr>
        <w:t xml:space="preserve"> handle </w:t>
      </w:r>
      <w:proofErr w:type="spellStart"/>
      <w:r w:rsidRPr="001D0132">
        <w:rPr>
          <w:sz w:val="14"/>
          <w:szCs w:val="14"/>
        </w:rPr>
        <w:t>your</w:t>
      </w:r>
      <w:proofErr w:type="spellEnd"/>
      <w:r w:rsidRPr="001D0132">
        <w:rPr>
          <w:sz w:val="14"/>
          <w:szCs w:val="14"/>
        </w:rPr>
        <w:t xml:space="preserve"> personal </w:t>
      </w:r>
      <w:proofErr w:type="spellStart"/>
      <w:r w:rsidRPr="001D0132">
        <w:rPr>
          <w:sz w:val="14"/>
          <w:szCs w:val="14"/>
        </w:rPr>
        <w:t>data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with</w:t>
      </w:r>
      <w:proofErr w:type="spellEnd"/>
      <w:r w:rsidRPr="001D0132">
        <w:rPr>
          <w:sz w:val="14"/>
          <w:szCs w:val="14"/>
        </w:rPr>
        <w:t xml:space="preserve"> care.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fulfilment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orders</w:t>
      </w:r>
      <w:proofErr w:type="spellEnd"/>
      <w:r w:rsidRPr="001D0132">
        <w:rPr>
          <w:sz w:val="14"/>
          <w:szCs w:val="14"/>
        </w:rPr>
        <w:t xml:space="preserve"> – in </w:t>
      </w:r>
      <w:proofErr w:type="spellStart"/>
      <w:r w:rsidRPr="001D0132">
        <w:rPr>
          <w:sz w:val="14"/>
          <w:szCs w:val="14"/>
        </w:rPr>
        <w:t>particular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fitting</w:t>
      </w:r>
      <w:proofErr w:type="spellEnd"/>
      <w:r w:rsidRPr="001D0132">
        <w:rPr>
          <w:sz w:val="14"/>
          <w:szCs w:val="14"/>
        </w:rPr>
        <w:t xml:space="preserve"> – </w:t>
      </w:r>
      <w:proofErr w:type="spellStart"/>
      <w:r w:rsidRPr="001D0132">
        <w:rPr>
          <w:sz w:val="14"/>
          <w:szCs w:val="14"/>
        </w:rPr>
        <w:t>we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may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commissioned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subcontractors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necessary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customer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data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passed</w:t>
      </w:r>
      <w:proofErr w:type="spellEnd"/>
      <w:r w:rsidRPr="001D0132">
        <w:rPr>
          <w:sz w:val="14"/>
          <w:szCs w:val="14"/>
        </w:rPr>
        <w:t xml:space="preserve"> on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purpose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nature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scope</w:t>
      </w:r>
      <w:proofErr w:type="spellEnd"/>
      <w:r w:rsidRPr="001D0132">
        <w:rPr>
          <w:sz w:val="14"/>
          <w:szCs w:val="14"/>
        </w:rPr>
        <w:t xml:space="preserve"> and legal </w:t>
      </w:r>
      <w:proofErr w:type="spellStart"/>
      <w:r w:rsidRPr="001D0132">
        <w:rPr>
          <w:sz w:val="14"/>
          <w:szCs w:val="14"/>
        </w:rPr>
        <w:t>basis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data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transfer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well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protective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measures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taken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governed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our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privacy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policy</w:t>
      </w:r>
      <w:proofErr w:type="spellEnd"/>
      <w:r w:rsidRPr="001D0132">
        <w:rPr>
          <w:sz w:val="14"/>
          <w:szCs w:val="14"/>
        </w:rPr>
        <w:t>.</w:t>
      </w:r>
    </w:p>
    <w:p w14:paraId="702C0AEE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Information </w:t>
      </w:r>
      <w:proofErr w:type="spellStart"/>
      <w:r w:rsidRPr="001D0132">
        <w:rPr>
          <w:sz w:val="14"/>
          <w:szCs w:val="14"/>
        </w:rPr>
        <w:t>can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found</w:t>
      </w:r>
      <w:proofErr w:type="spellEnd"/>
      <w:r w:rsidRPr="001D0132">
        <w:rPr>
          <w:sz w:val="14"/>
          <w:szCs w:val="14"/>
        </w:rPr>
        <w:t xml:space="preserve"> on </w:t>
      </w:r>
      <w:proofErr w:type="spellStart"/>
      <w:r w:rsidRPr="001D0132">
        <w:rPr>
          <w:sz w:val="14"/>
          <w:szCs w:val="14"/>
        </w:rPr>
        <w:t>our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website</w:t>
      </w:r>
      <w:proofErr w:type="spellEnd"/>
      <w:r w:rsidRPr="001D0132">
        <w:rPr>
          <w:sz w:val="14"/>
          <w:szCs w:val="14"/>
        </w:rPr>
        <w:t xml:space="preserve">: www.sattlerei-hennig.de/datenschutzerklarung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telephone</w:t>
      </w:r>
      <w:proofErr w:type="spellEnd"/>
      <w:r w:rsidRPr="001D0132">
        <w:rPr>
          <w:sz w:val="14"/>
          <w:szCs w:val="14"/>
        </w:rPr>
        <w:t xml:space="preserve"> at 033238 529000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writing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: Sattlerei Hennig Betriebs GmbH &amp; Co. KG, Dorfstraße 16, 14662 Mühlenberge/OT </w:t>
      </w:r>
      <w:proofErr w:type="spellStart"/>
      <w:r w:rsidRPr="001D0132">
        <w:rPr>
          <w:sz w:val="14"/>
          <w:szCs w:val="14"/>
        </w:rPr>
        <w:t>Haage</w:t>
      </w:r>
      <w:proofErr w:type="spellEnd"/>
      <w:r w:rsidRPr="001D0132">
        <w:rPr>
          <w:sz w:val="14"/>
          <w:szCs w:val="14"/>
        </w:rPr>
        <w:t>.</w:t>
      </w:r>
    </w:p>
    <w:p w14:paraId="5314DE02" w14:textId="4F57A399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17 </w:t>
      </w:r>
      <w:proofErr w:type="spellStart"/>
      <w:r w:rsidRPr="001D0132">
        <w:rPr>
          <w:b/>
          <w:bCs/>
          <w:sz w:val="14"/>
          <w:szCs w:val="14"/>
        </w:rPr>
        <w:t>Severability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Clause</w:t>
      </w:r>
      <w:proofErr w:type="spellEnd"/>
    </w:p>
    <w:p w14:paraId="4F9CC571" w14:textId="77777777" w:rsidR="001D0132" w:rsidRPr="001D0132" w:rsidRDefault="00000000" w:rsidP="001D0132">
      <w:pPr>
        <w:spacing w:before="60" w:after="60"/>
        <w:rPr>
          <w:sz w:val="14"/>
          <w:szCs w:val="14"/>
        </w:rPr>
      </w:pPr>
      <w:proofErr w:type="spellStart"/>
      <w:r w:rsidRPr="001D0132">
        <w:rPr>
          <w:sz w:val="14"/>
          <w:szCs w:val="14"/>
        </w:rPr>
        <w:t>Should</w:t>
      </w:r>
      <w:proofErr w:type="spellEnd"/>
      <w:r w:rsidRPr="001D0132">
        <w:rPr>
          <w:sz w:val="14"/>
          <w:szCs w:val="14"/>
        </w:rPr>
        <w:t xml:space="preserve"> individual </w:t>
      </w:r>
      <w:proofErr w:type="spellStart"/>
      <w:r w:rsidRPr="001D0132">
        <w:rPr>
          <w:sz w:val="14"/>
          <w:szCs w:val="14"/>
        </w:rPr>
        <w:t>provisions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these</w:t>
      </w:r>
      <w:proofErr w:type="spellEnd"/>
      <w:r w:rsidRPr="001D0132">
        <w:rPr>
          <w:sz w:val="14"/>
          <w:szCs w:val="14"/>
        </w:rPr>
        <w:t xml:space="preserve"> GTC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wholly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partially</w:t>
      </w:r>
      <w:proofErr w:type="spellEnd"/>
      <w:r w:rsidRPr="001D0132">
        <w:rPr>
          <w:sz w:val="14"/>
          <w:szCs w:val="14"/>
        </w:rPr>
        <w:t xml:space="preserve"> invalid,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validity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remaining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provisions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shall</w:t>
      </w:r>
      <w:proofErr w:type="spellEnd"/>
      <w:r w:rsidRPr="001D0132">
        <w:rPr>
          <w:sz w:val="14"/>
          <w:szCs w:val="14"/>
        </w:rPr>
        <w:t xml:space="preserve"> not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affected</w:t>
      </w:r>
      <w:proofErr w:type="spellEnd"/>
      <w:r w:rsidRPr="001D0132">
        <w:rPr>
          <w:sz w:val="14"/>
          <w:szCs w:val="14"/>
        </w:rPr>
        <w:t xml:space="preserve">. The invalid </w:t>
      </w:r>
      <w:proofErr w:type="spellStart"/>
      <w:r w:rsidRPr="001D0132">
        <w:rPr>
          <w:sz w:val="14"/>
          <w:szCs w:val="14"/>
        </w:rPr>
        <w:t>provision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shall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replaced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provision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whose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economic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effect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close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possible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invalid </w:t>
      </w:r>
      <w:proofErr w:type="spellStart"/>
      <w:r w:rsidRPr="001D0132">
        <w:rPr>
          <w:sz w:val="14"/>
          <w:szCs w:val="14"/>
        </w:rPr>
        <w:t>provision</w:t>
      </w:r>
      <w:proofErr w:type="spellEnd"/>
      <w:r w:rsidRPr="001D0132">
        <w:rPr>
          <w:sz w:val="14"/>
          <w:szCs w:val="14"/>
        </w:rPr>
        <w:t>.</w:t>
      </w:r>
    </w:p>
    <w:p w14:paraId="2ACC8635" w14:textId="41B81F7D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b/>
          <w:bCs/>
          <w:sz w:val="14"/>
          <w:szCs w:val="14"/>
        </w:rPr>
        <w:t xml:space="preserve">§ 18 </w:t>
      </w:r>
      <w:proofErr w:type="spellStart"/>
      <w:r w:rsidRPr="001D0132">
        <w:rPr>
          <w:b/>
          <w:bCs/>
          <w:sz w:val="14"/>
          <w:szCs w:val="14"/>
        </w:rPr>
        <w:t>Usage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Compensation</w:t>
      </w:r>
      <w:proofErr w:type="spellEnd"/>
      <w:r w:rsidRPr="001D0132">
        <w:rPr>
          <w:b/>
          <w:bCs/>
          <w:sz w:val="14"/>
          <w:szCs w:val="14"/>
        </w:rPr>
        <w:t xml:space="preserve"> upon </w:t>
      </w:r>
      <w:proofErr w:type="spellStart"/>
      <w:r w:rsidRPr="001D0132">
        <w:rPr>
          <w:b/>
          <w:bCs/>
          <w:sz w:val="14"/>
          <w:szCs w:val="14"/>
        </w:rPr>
        <w:t>Reversal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of</w:t>
      </w:r>
      <w:proofErr w:type="spellEnd"/>
      <w:r w:rsidRPr="001D0132">
        <w:rPr>
          <w:b/>
          <w:bCs/>
          <w:sz w:val="14"/>
          <w:szCs w:val="14"/>
        </w:rPr>
        <w:t xml:space="preserve"> </w:t>
      </w:r>
      <w:proofErr w:type="spellStart"/>
      <w:r w:rsidRPr="001D0132">
        <w:rPr>
          <w:b/>
          <w:bCs/>
          <w:sz w:val="14"/>
          <w:szCs w:val="14"/>
        </w:rPr>
        <w:t>Contract</w:t>
      </w:r>
      <w:proofErr w:type="spellEnd"/>
    </w:p>
    <w:p w14:paraId="03456ADC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(1) </w:t>
      </w:r>
      <w:proofErr w:type="spellStart"/>
      <w:r w:rsidRPr="001D0132">
        <w:rPr>
          <w:sz w:val="14"/>
          <w:szCs w:val="14"/>
        </w:rPr>
        <w:t>Principle</w:t>
      </w:r>
      <w:proofErr w:type="spellEnd"/>
      <w:r w:rsidRPr="001D0132">
        <w:rPr>
          <w:sz w:val="14"/>
          <w:szCs w:val="14"/>
        </w:rPr>
        <w:t xml:space="preserve">. </w:t>
      </w: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taken</w:t>
      </w:r>
      <w:proofErr w:type="spellEnd"/>
      <w:r w:rsidRPr="001D0132">
        <w:rPr>
          <w:sz w:val="14"/>
          <w:szCs w:val="14"/>
        </w:rPr>
        <w:t xml:space="preserve"> back – </w:t>
      </w:r>
      <w:proofErr w:type="spellStart"/>
      <w:r w:rsidRPr="001D0132">
        <w:rPr>
          <w:sz w:val="14"/>
          <w:szCs w:val="14"/>
        </w:rPr>
        <w:t>regardless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whether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mutual </w:t>
      </w:r>
      <w:proofErr w:type="spellStart"/>
      <w:r w:rsidRPr="001D0132">
        <w:rPr>
          <w:sz w:val="14"/>
          <w:szCs w:val="14"/>
        </w:rPr>
        <w:t>agreement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as</w:t>
      </w:r>
      <w:proofErr w:type="spellEnd"/>
      <w:r w:rsidRPr="001D0132">
        <w:rPr>
          <w:sz w:val="14"/>
          <w:szCs w:val="14"/>
        </w:rPr>
        <w:t xml:space="preserve"> a </w:t>
      </w:r>
      <w:proofErr w:type="spellStart"/>
      <w:r w:rsidRPr="001D0132">
        <w:rPr>
          <w:sz w:val="14"/>
          <w:szCs w:val="14"/>
        </w:rPr>
        <w:t>goodwill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</w:t>
      </w:r>
      <w:proofErr w:type="spellEnd"/>
      <w:r w:rsidRPr="001D0132">
        <w:rPr>
          <w:sz w:val="14"/>
          <w:szCs w:val="14"/>
        </w:rPr>
        <w:t xml:space="preserve">,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context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warranty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court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order</w:t>
      </w:r>
      <w:proofErr w:type="spellEnd"/>
      <w:r w:rsidRPr="001D0132">
        <w:rPr>
          <w:sz w:val="14"/>
          <w:szCs w:val="14"/>
        </w:rPr>
        <w:t xml:space="preserve"> –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entitled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deduct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compensation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actual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use</w:t>
      </w:r>
      <w:proofErr w:type="spellEnd"/>
      <w:r w:rsidRPr="001D0132">
        <w:rPr>
          <w:sz w:val="14"/>
          <w:szCs w:val="14"/>
        </w:rPr>
        <w:t xml:space="preserve">. This </w:t>
      </w:r>
      <w:proofErr w:type="spellStart"/>
      <w:r w:rsidRPr="001D0132">
        <w:rPr>
          <w:sz w:val="14"/>
          <w:szCs w:val="14"/>
        </w:rPr>
        <w:t>applies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equally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consumers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entrepreneurs</w:t>
      </w:r>
      <w:proofErr w:type="spellEnd"/>
      <w:r w:rsidRPr="001D0132">
        <w:rPr>
          <w:sz w:val="14"/>
          <w:szCs w:val="14"/>
        </w:rPr>
        <w:t>.</w:t>
      </w:r>
    </w:p>
    <w:p w14:paraId="2A6CC17F" w14:textId="4C4F6162" w:rsidR="008D5C14" w:rsidRPr="001D0132" w:rsidRDefault="00000000" w:rsidP="001D0132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(2) </w:t>
      </w:r>
      <w:proofErr w:type="spellStart"/>
      <w:r w:rsidRPr="001D0132">
        <w:rPr>
          <w:sz w:val="14"/>
          <w:szCs w:val="14"/>
        </w:rPr>
        <w:t>Calculation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usage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compensation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calculated</w:t>
      </w:r>
      <w:proofErr w:type="spellEnd"/>
      <w:r w:rsidRPr="001D0132">
        <w:rPr>
          <w:sz w:val="14"/>
          <w:szCs w:val="14"/>
        </w:rPr>
        <w:t xml:space="preserve"> on a </w:t>
      </w:r>
      <w:proofErr w:type="spellStart"/>
      <w:r w:rsidRPr="001D0132">
        <w:rPr>
          <w:sz w:val="14"/>
          <w:szCs w:val="14"/>
        </w:rPr>
        <w:t>daily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basis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using</w:t>
      </w:r>
      <w:proofErr w:type="spellEnd"/>
      <w:r w:rsidRPr="001D0132">
        <w:rPr>
          <w:sz w:val="14"/>
          <w:szCs w:val="14"/>
        </w:rPr>
        <w:t xml:space="preserve"> a degressive </w:t>
      </w:r>
      <w:proofErr w:type="spellStart"/>
      <w:r w:rsidRPr="001D0132">
        <w:rPr>
          <w:sz w:val="14"/>
          <w:szCs w:val="14"/>
        </w:rPr>
        <w:t>daily</w:t>
      </w:r>
      <w:proofErr w:type="spellEnd"/>
      <w:r w:rsidRPr="001D0132">
        <w:rPr>
          <w:sz w:val="14"/>
          <w:szCs w:val="14"/>
        </w:rPr>
        <w:t xml:space="preserve"> rate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reflects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disproportionate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loss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value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first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years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use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decisive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number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days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between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handover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receipt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return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. The </w:t>
      </w:r>
      <w:proofErr w:type="spellStart"/>
      <w:r w:rsidRPr="001D0132">
        <w:rPr>
          <w:sz w:val="14"/>
          <w:szCs w:val="14"/>
        </w:rPr>
        <w:t>daily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rates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based</w:t>
      </w:r>
      <w:proofErr w:type="spellEnd"/>
      <w:r w:rsidRPr="001D0132">
        <w:rPr>
          <w:sz w:val="14"/>
          <w:szCs w:val="14"/>
        </w:rPr>
        <w:t xml:space="preserve"> on an </w:t>
      </w:r>
      <w:proofErr w:type="spellStart"/>
      <w:r w:rsidRPr="001D0132">
        <w:rPr>
          <w:sz w:val="14"/>
          <w:szCs w:val="14"/>
        </w:rPr>
        <w:t>average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price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€ 6,600.00; </w:t>
      </w: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purchase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price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differs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are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adjusted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proportionally</w:t>
      </w:r>
      <w:proofErr w:type="spellEnd"/>
      <w:r w:rsidRPr="001D0132">
        <w:rPr>
          <w:sz w:val="14"/>
          <w:szCs w:val="14"/>
        </w:rPr>
        <w:t xml:space="preserve"> (</w:t>
      </w:r>
      <w:proofErr w:type="spellStart"/>
      <w:r w:rsidRPr="001D0132">
        <w:rPr>
          <w:sz w:val="14"/>
          <w:szCs w:val="14"/>
        </w:rPr>
        <w:t>actual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purchase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price</w:t>
      </w:r>
      <w:proofErr w:type="spellEnd"/>
      <w:r w:rsidRPr="001D0132">
        <w:rPr>
          <w:sz w:val="14"/>
          <w:szCs w:val="14"/>
        </w:rPr>
        <w:t xml:space="preserve"> ÷ 6,600 × </w:t>
      </w:r>
      <w:proofErr w:type="spellStart"/>
      <w:r w:rsidRPr="001D0132">
        <w:rPr>
          <w:sz w:val="14"/>
          <w:szCs w:val="14"/>
        </w:rPr>
        <w:t>table</w:t>
      </w:r>
      <w:proofErr w:type="spellEnd"/>
      <w:r w:rsidRPr="001D0132">
        <w:rPr>
          <w:sz w:val="14"/>
          <w:szCs w:val="14"/>
        </w:rPr>
        <w:t xml:space="preserve"> rate):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400"/>
        <w:gridCol w:w="1800"/>
        <w:gridCol w:w="1900"/>
        <w:gridCol w:w="2126"/>
      </w:tblGrid>
      <w:tr w:rsidR="008D5C14" w:rsidRPr="001D0132" w14:paraId="59EFDB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47E98C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b/>
                <w:bCs/>
                <w:sz w:val="14"/>
                <w:szCs w:val="14"/>
              </w:rPr>
              <w:t xml:space="preserve">Year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of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use</w:t>
            </w:r>
            <w:proofErr w:type="spellEnd"/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D7737B" w14:textId="77777777" w:rsidR="008D5C14" w:rsidRPr="001D0132" w:rsidRDefault="00000000">
            <w:pPr>
              <w:rPr>
                <w:sz w:val="14"/>
                <w:szCs w:val="14"/>
              </w:rPr>
            </w:pPr>
            <w:proofErr w:type="spellStart"/>
            <w:r w:rsidRPr="001D0132">
              <w:rPr>
                <w:b/>
                <w:bCs/>
                <w:sz w:val="14"/>
                <w:szCs w:val="14"/>
              </w:rPr>
              <w:t>Deduction</w:t>
            </w:r>
            <w:proofErr w:type="spellEnd"/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76046F" w14:textId="77777777" w:rsidR="008D5C14" w:rsidRPr="001D0132" w:rsidRDefault="00000000">
            <w:pPr>
              <w:rPr>
                <w:sz w:val="14"/>
                <w:szCs w:val="14"/>
              </w:rPr>
            </w:pPr>
            <w:proofErr w:type="spellStart"/>
            <w:r w:rsidRPr="001D0132">
              <w:rPr>
                <w:b/>
                <w:bCs/>
                <w:sz w:val="14"/>
                <w:szCs w:val="14"/>
              </w:rPr>
              <w:t>Amount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p.a.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94EC7F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b/>
                <w:bCs/>
                <w:sz w:val="14"/>
                <w:szCs w:val="14"/>
              </w:rPr>
              <w:t>Daily rate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17345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b/>
                <w:bCs/>
                <w:sz w:val="14"/>
                <w:szCs w:val="14"/>
              </w:rPr>
              <w:t>Basis</w:t>
            </w:r>
          </w:p>
        </w:tc>
      </w:tr>
      <w:tr w:rsidR="008D5C14" w:rsidRPr="001D0132" w14:paraId="752B42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B9627C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 xml:space="preserve">1st </w:t>
            </w:r>
            <w:proofErr w:type="spellStart"/>
            <w:r w:rsidRPr="001D0132">
              <w:rPr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40DE9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>25 %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965579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>€ 1,650.00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59D4C7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 xml:space="preserve">€ 4.50 / </w:t>
            </w:r>
            <w:proofErr w:type="spellStart"/>
            <w:r w:rsidRPr="001D0132">
              <w:rPr>
                <w:sz w:val="14"/>
                <w:szCs w:val="14"/>
              </w:rPr>
              <w:t>day</w:t>
            </w:r>
            <w:proofErr w:type="spellEnd"/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44BD9E" w14:textId="77777777" w:rsidR="008D5C14" w:rsidRPr="001D0132" w:rsidRDefault="00000000">
            <w:pPr>
              <w:rPr>
                <w:sz w:val="14"/>
                <w:szCs w:val="14"/>
              </w:rPr>
            </w:pPr>
            <w:proofErr w:type="spellStart"/>
            <w:r w:rsidRPr="001D0132">
              <w:rPr>
                <w:sz w:val="14"/>
                <w:szCs w:val="14"/>
              </w:rPr>
              <w:t>of</w:t>
            </w:r>
            <w:proofErr w:type="spellEnd"/>
            <w:r w:rsidRPr="001D0132">
              <w:rPr>
                <w:sz w:val="14"/>
                <w:szCs w:val="14"/>
              </w:rPr>
              <w:t xml:space="preserve"> </w:t>
            </w:r>
            <w:proofErr w:type="spellStart"/>
            <w:r w:rsidRPr="001D0132">
              <w:rPr>
                <w:sz w:val="14"/>
                <w:szCs w:val="14"/>
              </w:rPr>
              <w:t>purchase</w:t>
            </w:r>
            <w:proofErr w:type="spellEnd"/>
            <w:r w:rsidRPr="001D0132">
              <w:rPr>
                <w:sz w:val="14"/>
                <w:szCs w:val="14"/>
              </w:rPr>
              <w:t xml:space="preserve"> </w:t>
            </w:r>
            <w:proofErr w:type="spellStart"/>
            <w:r w:rsidRPr="001D0132">
              <w:rPr>
                <w:sz w:val="14"/>
                <w:szCs w:val="14"/>
              </w:rPr>
              <w:t>price</w:t>
            </w:r>
            <w:proofErr w:type="spellEnd"/>
          </w:p>
        </w:tc>
      </w:tr>
      <w:tr w:rsidR="008D5C14" w:rsidRPr="001D0132" w14:paraId="386011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AC660B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 xml:space="preserve">2nd </w:t>
            </w:r>
            <w:proofErr w:type="spellStart"/>
            <w:r w:rsidRPr="001D0132">
              <w:rPr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D36094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>20 %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CEA88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>€ 990.00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2E11EF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 xml:space="preserve">€ 2.70 / </w:t>
            </w:r>
            <w:proofErr w:type="spellStart"/>
            <w:r w:rsidRPr="001D0132">
              <w:rPr>
                <w:sz w:val="14"/>
                <w:szCs w:val="14"/>
              </w:rPr>
              <w:t>day</w:t>
            </w:r>
            <w:proofErr w:type="spellEnd"/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72F64F" w14:textId="77777777" w:rsidR="008D5C14" w:rsidRPr="001D0132" w:rsidRDefault="00000000">
            <w:pPr>
              <w:rPr>
                <w:sz w:val="14"/>
                <w:szCs w:val="14"/>
              </w:rPr>
            </w:pPr>
            <w:proofErr w:type="spellStart"/>
            <w:r w:rsidRPr="001D0132">
              <w:rPr>
                <w:sz w:val="14"/>
                <w:szCs w:val="14"/>
              </w:rPr>
              <w:t>of</w:t>
            </w:r>
            <w:proofErr w:type="spellEnd"/>
            <w:r w:rsidRPr="001D0132">
              <w:rPr>
                <w:sz w:val="14"/>
                <w:szCs w:val="14"/>
              </w:rPr>
              <w:t xml:space="preserve"> residual </w:t>
            </w:r>
            <w:proofErr w:type="spellStart"/>
            <w:r w:rsidRPr="001D0132">
              <w:rPr>
                <w:sz w:val="14"/>
                <w:szCs w:val="14"/>
              </w:rPr>
              <w:t>value</w:t>
            </w:r>
            <w:proofErr w:type="spellEnd"/>
          </w:p>
        </w:tc>
      </w:tr>
      <w:tr w:rsidR="008D5C14" w:rsidRPr="001D0132" w14:paraId="79F779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8D90A1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 xml:space="preserve">3rd </w:t>
            </w:r>
            <w:proofErr w:type="spellStart"/>
            <w:r w:rsidRPr="001D0132">
              <w:rPr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F264DA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>15 %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13DC67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>€ 594.00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FB5A1F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 xml:space="preserve">€ 1.60 / </w:t>
            </w:r>
            <w:proofErr w:type="spellStart"/>
            <w:r w:rsidRPr="001D0132">
              <w:rPr>
                <w:sz w:val="14"/>
                <w:szCs w:val="14"/>
              </w:rPr>
              <w:t>day</w:t>
            </w:r>
            <w:proofErr w:type="spellEnd"/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BD3718" w14:textId="77777777" w:rsidR="008D5C14" w:rsidRPr="001D0132" w:rsidRDefault="00000000">
            <w:pPr>
              <w:rPr>
                <w:sz w:val="14"/>
                <w:szCs w:val="14"/>
              </w:rPr>
            </w:pPr>
            <w:proofErr w:type="spellStart"/>
            <w:r w:rsidRPr="001D0132">
              <w:rPr>
                <w:sz w:val="14"/>
                <w:szCs w:val="14"/>
              </w:rPr>
              <w:t>of</w:t>
            </w:r>
            <w:proofErr w:type="spellEnd"/>
            <w:r w:rsidRPr="001D0132">
              <w:rPr>
                <w:sz w:val="14"/>
                <w:szCs w:val="14"/>
              </w:rPr>
              <w:t xml:space="preserve"> residual </w:t>
            </w:r>
            <w:proofErr w:type="spellStart"/>
            <w:r w:rsidRPr="001D0132">
              <w:rPr>
                <w:sz w:val="14"/>
                <w:szCs w:val="14"/>
              </w:rPr>
              <w:t>value</w:t>
            </w:r>
            <w:proofErr w:type="spellEnd"/>
          </w:p>
        </w:tc>
      </w:tr>
    </w:tbl>
    <w:p w14:paraId="2607638B" w14:textId="77777777" w:rsidR="008D5C14" w:rsidRPr="001D0132" w:rsidRDefault="008D5C14">
      <w:pPr>
        <w:spacing w:before="100" w:after="100"/>
        <w:rPr>
          <w:sz w:val="14"/>
          <w:szCs w:val="1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5C14" w:rsidRPr="001D0132" w14:paraId="5E7C505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829168" w14:textId="77777777" w:rsidR="008D5C14" w:rsidRPr="001D0132" w:rsidRDefault="00000000">
            <w:pPr>
              <w:rPr>
                <w:sz w:val="14"/>
                <w:szCs w:val="14"/>
              </w:rPr>
            </w:pPr>
            <w:proofErr w:type="spellStart"/>
            <w:r w:rsidRPr="001D0132">
              <w:rPr>
                <w:b/>
                <w:bCs/>
                <w:sz w:val="14"/>
                <w:szCs w:val="14"/>
              </w:rPr>
              <w:t>Example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: Saddle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price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€ 6,600 | Return after 14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months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(365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days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year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1 + 60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days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D0132">
              <w:rPr>
                <w:b/>
                <w:bCs/>
                <w:sz w:val="14"/>
                <w:szCs w:val="14"/>
              </w:rPr>
              <w:t>year</w:t>
            </w:r>
            <w:proofErr w:type="spellEnd"/>
            <w:r w:rsidRPr="001D0132">
              <w:rPr>
                <w:b/>
                <w:bCs/>
                <w:sz w:val="14"/>
                <w:szCs w:val="14"/>
              </w:rPr>
              <w:t xml:space="preserve"> 2)</w:t>
            </w:r>
          </w:p>
          <w:p w14:paraId="20110851" w14:textId="77777777" w:rsidR="008D5C14" w:rsidRPr="001D0132" w:rsidRDefault="00000000">
            <w:pPr>
              <w:rPr>
                <w:sz w:val="14"/>
                <w:szCs w:val="14"/>
              </w:rPr>
            </w:pPr>
            <w:r w:rsidRPr="001D0132">
              <w:rPr>
                <w:sz w:val="14"/>
                <w:szCs w:val="14"/>
              </w:rPr>
              <w:t xml:space="preserve">365 × € 4.50 = € </w:t>
            </w:r>
            <w:proofErr w:type="gramStart"/>
            <w:r w:rsidRPr="001D0132">
              <w:rPr>
                <w:sz w:val="14"/>
                <w:szCs w:val="14"/>
              </w:rPr>
              <w:t>1,642.50  +</w:t>
            </w:r>
            <w:proofErr w:type="gramEnd"/>
            <w:r w:rsidRPr="001D0132">
              <w:rPr>
                <w:sz w:val="14"/>
                <w:szCs w:val="14"/>
              </w:rPr>
              <w:t xml:space="preserve">  60 × € 2.70 = € 162.00  →  Total </w:t>
            </w:r>
            <w:proofErr w:type="spellStart"/>
            <w:r w:rsidRPr="001D0132">
              <w:rPr>
                <w:sz w:val="14"/>
                <w:szCs w:val="14"/>
              </w:rPr>
              <w:t>usage</w:t>
            </w:r>
            <w:proofErr w:type="spellEnd"/>
            <w:r w:rsidRPr="001D0132">
              <w:rPr>
                <w:sz w:val="14"/>
                <w:szCs w:val="14"/>
              </w:rPr>
              <w:t xml:space="preserve"> </w:t>
            </w:r>
            <w:proofErr w:type="spellStart"/>
            <w:r w:rsidRPr="001D0132">
              <w:rPr>
                <w:sz w:val="14"/>
                <w:szCs w:val="14"/>
              </w:rPr>
              <w:t>compensation</w:t>
            </w:r>
            <w:proofErr w:type="spellEnd"/>
            <w:r w:rsidRPr="001D0132">
              <w:rPr>
                <w:sz w:val="14"/>
                <w:szCs w:val="14"/>
              </w:rPr>
              <w:t>: € 1,804.50</w:t>
            </w:r>
          </w:p>
          <w:p w14:paraId="4878D47B" w14:textId="77777777" w:rsidR="008D5C14" w:rsidRPr="001D0132" w:rsidRDefault="00000000">
            <w:pPr>
              <w:rPr>
                <w:sz w:val="14"/>
                <w:szCs w:val="14"/>
              </w:rPr>
            </w:pPr>
            <w:proofErr w:type="spellStart"/>
            <w:r w:rsidRPr="001D0132">
              <w:rPr>
                <w:sz w:val="14"/>
                <w:szCs w:val="14"/>
              </w:rPr>
              <w:t>Refund</w:t>
            </w:r>
            <w:proofErr w:type="spellEnd"/>
            <w:r w:rsidRPr="001D0132">
              <w:rPr>
                <w:sz w:val="14"/>
                <w:szCs w:val="14"/>
              </w:rPr>
              <w:t xml:space="preserve"> </w:t>
            </w:r>
            <w:proofErr w:type="spellStart"/>
            <w:r w:rsidRPr="001D0132">
              <w:rPr>
                <w:sz w:val="14"/>
                <w:szCs w:val="14"/>
              </w:rPr>
              <w:t>amount</w:t>
            </w:r>
            <w:proofErr w:type="spellEnd"/>
            <w:r w:rsidRPr="001D0132">
              <w:rPr>
                <w:sz w:val="14"/>
                <w:szCs w:val="14"/>
              </w:rPr>
              <w:t>: € 6,600.00 – € 1,804.50 = € 4,795.50</w:t>
            </w:r>
          </w:p>
        </w:tc>
      </w:tr>
    </w:tbl>
    <w:p w14:paraId="62231BC1" w14:textId="77777777" w:rsidR="008D5C14" w:rsidRPr="001D0132" w:rsidRDefault="008D5C14">
      <w:pPr>
        <w:spacing w:before="100" w:after="60"/>
        <w:rPr>
          <w:sz w:val="14"/>
          <w:szCs w:val="14"/>
        </w:rPr>
      </w:pPr>
    </w:p>
    <w:p w14:paraId="77ECA881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(3) Right </w:t>
      </w:r>
      <w:proofErr w:type="spellStart"/>
      <w:r w:rsidRPr="001D0132">
        <w:rPr>
          <w:sz w:val="14"/>
          <w:szCs w:val="14"/>
        </w:rPr>
        <w:t>of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proof</w:t>
      </w:r>
      <w:proofErr w:type="spellEnd"/>
      <w:r w:rsidRPr="001D0132">
        <w:rPr>
          <w:sz w:val="14"/>
          <w:szCs w:val="14"/>
        </w:rPr>
        <w:t xml:space="preserve">. The Client </w:t>
      </w:r>
      <w:proofErr w:type="spellStart"/>
      <w:r w:rsidRPr="001D0132">
        <w:rPr>
          <w:sz w:val="14"/>
          <w:szCs w:val="14"/>
        </w:rPr>
        <w:t>may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any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case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actual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loss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value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lower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compensation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resulting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from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table</w:t>
      </w:r>
      <w:proofErr w:type="spellEnd"/>
      <w:r w:rsidRPr="001D0132">
        <w:rPr>
          <w:sz w:val="14"/>
          <w:szCs w:val="14"/>
        </w:rPr>
        <w:t xml:space="preserve">. Proof </w:t>
      </w:r>
      <w:proofErr w:type="spellStart"/>
      <w:r w:rsidRPr="001D0132">
        <w:rPr>
          <w:sz w:val="14"/>
          <w:szCs w:val="14"/>
        </w:rPr>
        <w:t>must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provided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by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suitable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documents</w:t>
      </w:r>
      <w:proofErr w:type="spellEnd"/>
      <w:r w:rsidRPr="001D0132">
        <w:rPr>
          <w:sz w:val="14"/>
          <w:szCs w:val="14"/>
        </w:rPr>
        <w:t xml:space="preserve"> – in </w:t>
      </w:r>
      <w:proofErr w:type="spellStart"/>
      <w:r w:rsidRPr="001D0132">
        <w:rPr>
          <w:sz w:val="14"/>
          <w:szCs w:val="14"/>
        </w:rPr>
        <w:t>particular</w:t>
      </w:r>
      <w:proofErr w:type="spellEnd"/>
      <w:r w:rsidRPr="001D0132">
        <w:rPr>
          <w:sz w:val="14"/>
          <w:szCs w:val="14"/>
        </w:rPr>
        <w:t xml:space="preserve"> expert </w:t>
      </w:r>
      <w:proofErr w:type="spellStart"/>
      <w:r w:rsidRPr="001D0132">
        <w:rPr>
          <w:sz w:val="14"/>
          <w:szCs w:val="14"/>
        </w:rPr>
        <w:t>opinions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current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comparison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offers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for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equivalent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saddles</w:t>
      </w:r>
      <w:proofErr w:type="spellEnd"/>
      <w:r w:rsidRPr="001D0132">
        <w:rPr>
          <w:sz w:val="14"/>
          <w:szCs w:val="14"/>
        </w:rPr>
        <w:t>.</w:t>
      </w:r>
    </w:p>
    <w:p w14:paraId="4D09648F" w14:textId="77777777" w:rsidR="008D5C14" w:rsidRPr="001D0132" w:rsidRDefault="00000000">
      <w:pPr>
        <w:spacing w:before="60" w:after="60"/>
        <w:rPr>
          <w:sz w:val="14"/>
          <w:szCs w:val="14"/>
        </w:rPr>
      </w:pPr>
      <w:r w:rsidRPr="001D0132">
        <w:rPr>
          <w:sz w:val="14"/>
          <w:szCs w:val="14"/>
        </w:rPr>
        <w:t xml:space="preserve">(4) Additional </w:t>
      </w:r>
      <w:proofErr w:type="spellStart"/>
      <w:r w:rsidRPr="001D0132">
        <w:rPr>
          <w:sz w:val="14"/>
          <w:szCs w:val="14"/>
        </w:rPr>
        <w:t>damages</w:t>
      </w:r>
      <w:proofErr w:type="spellEnd"/>
      <w:r w:rsidRPr="001D0132">
        <w:rPr>
          <w:sz w:val="14"/>
          <w:szCs w:val="14"/>
        </w:rPr>
        <w:t xml:space="preserve">. </w:t>
      </w:r>
      <w:proofErr w:type="spellStart"/>
      <w:r w:rsidRPr="001D0132">
        <w:rPr>
          <w:sz w:val="14"/>
          <w:szCs w:val="14"/>
        </w:rPr>
        <w:t>If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saddle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shows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damage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beyond</w:t>
      </w:r>
      <w:proofErr w:type="spellEnd"/>
      <w:r w:rsidRPr="001D0132">
        <w:rPr>
          <w:sz w:val="14"/>
          <w:szCs w:val="14"/>
        </w:rPr>
        <w:t xml:space="preserve"> normal </w:t>
      </w:r>
      <w:proofErr w:type="spellStart"/>
      <w:r w:rsidRPr="001D0132">
        <w:rPr>
          <w:sz w:val="14"/>
          <w:szCs w:val="14"/>
        </w:rPr>
        <w:t>wear</w:t>
      </w:r>
      <w:proofErr w:type="spellEnd"/>
      <w:r w:rsidRPr="001D0132">
        <w:rPr>
          <w:sz w:val="14"/>
          <w:szCs w:val="14"/>
        </w:rPr>
        <w:t xml:space="preserve"> and </w:t>
      </w:r>
      <w:proofErr w:type="spellStart"/>
      <w:r w:rsidRPr="001D0132">
        <w:rPr>
          <w:sz w:val="14"/>
          <w:szCs w:val="14"/>
        </w:rPr>
        <w:t>tear</w:t>
      </w:r>
      <w:proofErr w:type="spellEnd"/>
      <w:r w:rsidRPr="001D0132">
        <w:rPr>
          <w:sz w:val="14"/>
          <w:szCs w:val="14"/>
        </w:rPr>
        <w:t xml:space="preserve"> upon </w:t>
      </w:r>
      <w:proofErr w:type="spellStart"/>
      <w:r w:rsidRPr="001D0132">
        <w:rPr>
          <w:sz w:val="14"/>
          <w:szCs w:val="14"/>
        </w:rPr>
        <w:t>return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that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attributable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improper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handling</w:t>
      </w:r>
      <w:proofErr w:type="spellEnd"/>
      <w:r w:rsidRPr="001D0132">
        <w:rPr>
          <w:sz w:val="14"/>
          <w:szCs w:val="14"/>
        </w:rPr>
        <w:t xml:space="preserve">,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Contractor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is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entitled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claim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damages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addition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to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usage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compensation</w:t>
      </w:r>
      <w:proofErr w:type="spellEnd"/>
      <w:r w:rsidRPr="001D0132">
        <w:rPr>
          <w:sz w:val="14"/>
          <w:szCs w:val="14"/>
        </w:rPr>
        <w:t xml:space="preserve"> in </w:t>
      </w:r>
      <w:proofErr w:type="spellStart"/>
      <w:r w:rsidRPr="001D0132">
        <w:rPr>
          <w:sz w:val="14"/>
          <w:szCs w:val="14"/>
        </w:rPr>
        <w:t>the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actual</w:t>
      </w:r>
      <w:proofErr w:type="spellEnd"/>
      <w:r w:rsidRPr="001D0132">
        <w:rPr>
          <w:sz w:val="14"/>
          <w:szCs w:val="14"/>
        </w:rPr>
        <w:t xml:space="preserve"> </w:t>
      </w:r>
      <w:proofErr w:type="spellStart"/>
      <w:r w:rsidRPr="001D0132">
        <w:rPr>
          <w:sz w:val="14"/>
          <w:szCs w:val="14"/>
        </w:rPr>
        <w:t>amount</w:t>
      </w:r>
      <w:proofErr w:type="spellEnd"/>
      <w:r w:rsidRPr="001D0132">
        <w:rPr>
          <w:sz w:val="14"/>
          <w:szCs w:val="14"/>
        </w:rPr>
        <w:t>.</w:t>
      </w:r>
    </w:p>
    <w:sectPr w:rsidR="008D5C14" w:rsidRPr="001D0132">
      <w:pgSz w:w="11906" w:h="16838"/>
      <w:pgMar w:top="1200" w:right="1440" w:bottom="12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24B"/>
    <w:multiLevelType w:val="hybridMultilevel"/>
    <w:tmpl w:val="D376CE3C"/>
    <w:lvl w:ilvl="0" w:tplc="5C522E5C">
      <w:start w:val="1"/>
      <w:numFmt w:val="bullet"/>
      <w:lvlText w:val="●"/>
      <w:lvlJc w:val="left"/>
      <w:pPr>
        <w:ind w:left="720" w:hanging="360"/>
      </w:pPr>
    </w:lvl>
    <w:lvl w:ilvl="1" w:tplc="DB422F02">
      <w:start w:val="1"/>
      <w:numFmt w:val="bullet"/>
      <w:lvlText w:val="○"/>
      <w:lvlJc w:val="left"/>
      <w:pPr>
        <w:ind w:left="1440" w:hanging="360"/>
      </w:pPr>
    </w:lvl>
    <w:lvl w:ilvl="2" w:tplc="B5DC6DF8">
      <w:start w:val="1"/>
      <w:numFmt w:val="bullet"/>
      <w:lvlText w:val="■"/>
      <w:lvlJc w:val="left"/>
      <w:pPr>
        <w:ind w:left="2160" w:hanging="360"/>
      </w:pPr>
    </w:lvl>
    <w:lvl w:ilvl="3" w:tplc="53704CE8">
      <w:start w:val="1"/>
      <w:numFmt w:val="bullet"/>
      <w:lvlText w:val="●"/>
      <w:lvlJc w:val="left"/>
      <w:pPr>
        <w:ind w:left="2880" w:hanging="360"/>
      </w:pPr>
    </w:lvl>
    <w:lvl w:ilvl="4" w:tplc="BD945D3A">
      <w:start w:val="1"/>
      <w:numFmt w:val="bullet"/>
      <w:lvlText w:val="○"/>
      <w:lvlJc w:val="left"/>
      <w:pPr>
        <w:ind w:left="3600" w:hanging="360"/>
      </w:pPr>
    </w:lvl>
    <w:lvl w:ilvl="5" w:tplc="FBDA7F58">
      <w:start w:val="1"/>
      <w:numFmt w:val="bullet"/>
      <w:lvlText w:val="■"/>
      <w:lvlJc w:val="left"/>
      <w:pPr>
        <w:ind w:left="4320" w:hanging="360"/>
      </w:pPr>
    </w:lvl>
    <w:lvl w:ilvl="6" w:tplc="BACA5FB8">
      <w:start w:val="1"/>
      <w:numFmt w:val="bullet"/>
      <w:lvlText w:val="●"/>
      <w:lvlJc w:val="left"/>
      <w:pPr>
        <w:ind w:left="5040" w:hanging="360"/>
      </w:pPr>
    </w:lvl>
    <w:lvl w:ilvl="7" w:tplc="7482FB94">
      <w:start w:val="1"/>
      <w:numFmt w:val="bullet"/>
      <w:lvlText w:val="●"/>
      <w:lvlJc w:val="left"/>
      <w:pPr>
        <w:ind w:left="5760" w:hanging="360"/>
      </w:pPr>
    </w:lvl>
    <w:lvl w:ilvl="8" w:tplc="E9E816D0">
      <w:start w:val="1"/>
      <w:numFmt w:val="bullet"/>
      <w:lvlText w:val="●"/>
      <w:lvlJc w:val="left"/>
      <w:pPr>
        <w:ind w:left="6480" w:hanging="360"/>
      </w:pPr>
    </w:lvl>
  </w:abstractNum>
  <w:num w:numId="1" w16cid:durableId="197815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14"/>
    <w:rsid w:val="001D0132"/>
    <w:rsid w:val="008D5C14"/>
    <w:rsid w:val="00A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133F"/>
  <w15:docId w15:val="{7A78B9EE-E1AC-4917-84E8-DB1D67F5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Patric Hennig</cp:lastModifiedBy>
  <cp:revision>2</cp:revision>
  <dcterms:created xsi:type="dcterms:W3CDTF">2026-02-23T08:03:00Z</dcterms:created>
  <dcterms:modified xsi:type="dcterms:W3CDTF">2026-02-23T08:11:00Z</dcterms:modified>
</cp:coreProperties>
</file>